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before="120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2">
      <w:pPr>
        <w:spacing w:after="120" w:lineRule="auto"/>
        <w:jc w:val="center"/>
        <w:rPr/>
      </w:pPr>
      <w:r w:rsidDel="00000000" w:rsidR="00000000" w:rsidRPr="00000000">
        <w:rPr>
          <w:rFonts w:ascii="Times New Roman" w:cs="Times New Roman" w:eastAsia="Times New Roman" w:hAnsi="Times New Roman"/>
          <w:b w:val="1"/>
          <w:bCs w:val="1"/>
          <w:sz w:val="56"/>
          <w:szCs w:val="56"/>
          <w:rtl w:val="0"/>
        </w:rPr>
        <w:t xml:space="preserve">ARCTIC LEDGER</w:t>
      </w:r>
      <w:r w:rsidDel="00000000" w:rsidR="00000000" w:rsidRPr="00000000">
        <w:rPr>
          <w:rtl w:val="0"/>
        </w:rPr>
      </w:r>
    </w:p>
    <w:p w:rsidR="00000000" w:rsidDel="00000000" w:rsidP="00000000" w:rsidRDefault="00000000" w:rsidRPr="00000000" w14:paraId="00000003">
      <w:pPr>
        <w:spacing w:after="120" w:lineRule="auto"/>
        <w:jc w:val="center"/>
        <w:rPr/>
      </w:pPr>
      <w:r w:rsidDel="00000000" w:rsidR="00000000" w:rsidRPr="00000000">
        <w:rPr>
          <w:rFonts w:ascii="Times New Roman" w:cs="Times New Roman" w:eastAsia="Times New Roman" w:hAnsi="Times New Roman"/>
          <w:b w:val="1"/>
          <w:bCs w:val="1"/>
          <w:rtl w:val="0"/>
        </w:rPr>
        <w:t xml:space="preserve">A JOURNAL OF GEOPOLITICAL RISK &amp; GREAT POWER COMPETITION</w:t>
      </w:r>
      <w:r w:rsidDel="00000000" w:rsidR="00000000" w:rsidRPr="00000000">
        <w:rPr>
          <w:rtl w:val="0"/>
        </w:rPr>
      </w:r>
    </w:p>
    <w:p w:rsidR="00000000" w:rsidDel="00000000" w:rsidP="00000000" w:rsidRDefault="00000000" w:rsidRPr="00000000" w14:paraId="00000004">
      <w:pPr>
        <w:spacing w:after="100" w:before="400" w:lineRule="auto"/>
        <w:jc w:val="center"/>
        <w:rPr/>
      </w:pPr>
      <w:r w:rsidDel="00000000" w:rsidR="00000000" w:rsidRPr="00000000">
        <w:rPr>
          <w:rFonts w:ascii="Times New Roman" w:cs="Times New Roman" w:eastAsia="Times New Roman" w:hAnsi="Times New Roman"/>
          <w:b w:val="1"/>
          <w:bCs w:val="1"/>
          <w:sz w:val="26"/>
          <w:szCs w:val="26"/>
          <w:rtl w:val="0"/>
        </w:rPr>
        <w:t xml:space="preserve">VOLUME I · NO. 2</w:t>
      </w:r>
      <w:r w:rsidDel="00000000" w:rsidR="00000000" w:rsidRPr="00000000">
        <w:rPr>
          <w:rtl w:val="0"/>
        </w:rPr>
      </w:r>
    </w:p>
    <w:p w:rsidR="00000000" w:rsidDel="00000000" w:rsidP="00000000" w:rsidRDefault="00000000" w:rsidRPr="00000000" w14:paraId="00000005">
      <w:pPr>
        <w:spacing w:after="100" w:before="400" w:lineRule="auto"/>
        <w:jc w:val="center"/>
        <w:rPr/>
      </w:pPr>
      <w:r w:rsidDel="00000000" w:rsidR="00000000" w:rsidRPr="00000000">
        <w:rPr>
          <w:rFonts w:ascii="Times New Roman" w:cs="Times New Roman" w:eastAsia="Times New Roman" w:hAnsi="Times New Roman"/>
          <w:sz w:val="24"/>
          <w:szCs w:val="24"/>
          <w:rtl w:val="0"/>
        </w:rPr>
        <w:t xml:space="preserve">SEPTEMBER – OCTOBER 2026</w:t>
      </w:r>
      <w:r w:rsidDel="00000000" w:rsidR="00000000" w:rsidRPr="00000000">
        <w:rPr>
          <w:rtl w:val="0"/>
        </w:rPr>
      </w:r>
    </w:p>
    <w:p w:rsidR="00000000" w:rsidDel="00000000" w:rsidP="00000000" w:rsidRDefault="00000000" w:rsidRPr="00000000" w14:paraId="00000006">
      <w:pPr>
        <w:spacing w:after="80" w:before="500" w:lineRule="auto"/>
        <w:jc w:val="center"/>
        <w:rPr/>
      </w:pPr>
      <w:r w:rsidDel="00000000" w:rsidR="00000000" w:rsidRPr="00000000">
        <w:rPr>
          <w:rFonts w:ascii="Times New Roman" w:cs="Times New Roman" w:eastAsia="Times New Roman" w:hAnsi="Times New Roman"/>
          <w:b w:val="1"/>
          <w:bCs w:val="1"/>
          <w:i w:val="1"/>
          <w:iCs w:val="1"/>
          <w:sz w:val="30"/>
          <w:szCs w:val="30"/>
          <w:rtl w:val="0"/>
        </w:rPr>
        <w:t xml:space="preserve">Ore, Ownership, and Opacity</w:t>
      </w:r>
      <w:r w:rsidDel="00000000" w:rsidR="00000000" w:rsidRPr="00000000">
        <w:rPr>
          <w:rtl w:val="0"/>
        </w:rPr>
      </w:r>
    </w:p>
    <w:p w:rsidR="00000000" w:rsidDel="00000000" w:rsidP="00000000" w:rsidRDefault="00000000" w:rsidRPr="00000000" w14:paraId="00000007">
      <w:pPr>
        <w:spacing w:after="120" w:lineRule="auto"/>
        <w:jc w:val="center"/>
        <w:rPr/>
      </w:pPr>
      <w:r w:rsidDel="00000000" w:rsidR="00000000" w:rsidRPr="00000000">
        <w:rPr>
          <w:rFonts w:ascii="Times New Roman" w:cs="Times New Roman" w:eastAsia="Times New Roman" w:hAnsi="Times New Roman"/>
          <w:i w:val="1"/>
          <w:iCs w:val="1"/>
          <w:rtl w:val="0"/>
        </w:rPr>
        <w:t xml:space="preserve">Critical Minerals and China's Strategy of Concealed Control</w:t>
      </w:r>
      <w:r w:rsidDel="00000000" w:rsidR="00000000" w:rsidRPr="00000000">
        <w:rPr>
          <w:rtl w:val="0"/>
        </w:rPr>
      </w:r>
    </w:p>
    <w:p w:rsidR="00000000" w:rsidDel="00000000" w:rsidP="00000000" w:rsidRDefault="00000000" w:rsidRPr="00000000" w14:paraId="00000008">
      <w:pPr>
        <w:rPr/>
      </w:pPr>
      <w:r w:rsidDel="00000000" w:rsidR="00000000" w:rsidRPr="00000000">
        <w:br w:type="page"/>
      </w:r>
      <w:r w:rsidDel="00000000" w:rsidR="00000000" w:rsidRPr="00000000">
        <w:rPr>
          <w:rtl w:val="0"/>
        </w:rPr>
      </w:r>
    </w:p>
    <w:p w:rsidR="00000000" w:rsidDel="00000000" w:rsidP="00000000" w:rsidRDefault="00000000" w:rsidRPr="00000000" w14:paraId="00000009">
      <w:pPr>
        <w:pStyle w:val="Heading1"/>
        <w:pBdr>
          <w:bottom w:color="1b3a5c" w:space="4" w:sz="6" w:val="single"/>
        </w:pBdr>
        <w:spacing w:after="200" w:before="300" w:line="276" w:lineRule="auto"/>
        <w:rPr/>
      </w:pPr>
      <w:r w:rsidDel="00000000" w:rsidR="00000000" w:rsidRPr="00000000">
        <w:rPr>
          <w:rFonts w:ascii="Times New Roman" w:cs="Times New Roman" w:eastAsia="Times New Roman" w:hAnsi="Times New Roman"/>
          <w:b w:val="1"/>
          <w:bCs w:val="1"/>
          <w:i w:val="0"/>
          <w:iCs w:val="0"/>
          <w:sz w:val="32"/>
          <w:szCs w:val="32"/>
          <w:rtl w:val="0"/>
        </w:rPr>
        <w:t xml:space="preserve">EDITOR'S NOTE</w:t>
      </w:r>
      <w:r w:rsidDel="00000000" w:rsidR="00000000" w:rsidRPr="00000000">
        <w:rPr>
          <w:rtl w:val="0"/>
        </w:rPr>
      </w:r>
    </w:p>
    <w:p w:rsidR="00000000" w:rsidDel="00000000" w:rsidP="00000000" w:rsidRDefault="00000000" w:rsidRPr="00000000" w14:paraId="0000000A">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Volume I No. 1 provided an overview of great power competition throughout the world, in its various presentations and battlegrounds. Volume I No. 2 turns instead from the architecture of access to the controls of chokepoints. Volume I traced a commercial presence creating pressure, while No. 1 follows a more narrow question: Once a mineral is taken from the ground, who does it actually belong to, sooner or later, in the supply chain? Vol I No. 2 is Arctic Ledger’s proud compilation of nine articles which analyze the role and shifting significance of critical minerals in the geopolitical landscape. It includes authors from six nations and four continents, from distinguished think tanks, universities, as well as corporations and ministries of foreign affairs. This volume covers the origin, extraction, and politics regarding critical minerals. From radioactive sands in the Egyptian desert to Australian nickel reserves; the conquest to control supply chains by China and Western powers, to protect national interests of security and technological advancement.</w:t>
      </w:r>
      <w:r w:rsidDel="00000000" w:rsidR="00000000" w:rsidRPr="00000000">
        <w:rPr>
          <w:rtl w:val="0"/>
        </w:rPr>
      </w:r>
    </w:p>
    <w:p w:rsidR="00000000" w:rsidDel="00000000" w:rsidP="00000000" w:rsidRDefault="00000000" w:rsidRPr="00000000" w14:paraId="0000000B">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It analyzes the liberalization of the Egyptian mining sector for gold and phosphate, while retaining rare earth-rich blank sands through a military-owned company with no public output. Rwandan export statistics record smuggled Congolese cobalt, laundered through licensed refiners, which in turn fund an armed militia under US sanction. The rich mineral of nickel in Oceania in turn provides differing degrees of leverage and the creditor responsible, throughout the Philippines, Indonesia, and Australia. On the other side of the world, in the landlocked states of Central Asia, China establishes a hold on Eurasia, through infrastructure and financing suffocating the sovereignty of nations minerals through influence.The West seeks to build refining capacity to match China, while leverage shifts up the supply chain,changing where the chokepoint of critical minerals rests, and who controls it throughout the process.</w:t>
      </w:r>
      <w:r w:rsidDel="00000000" w:rsidR="00000000" w:rsidRPr="00000000">
        <w:rPr>
          <w:rtl w:val="0"/>
        </w:rPr>
      </w:r>
    </w:p>
    <w:p w:rsidR="00000000" w:rsidDel="00000000" w:rsidP="00000000" w:rsidRDefault="00000000" w:rsidRPr="00000000" w14:paraId="0000000C">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The throughline therein is opacity, as opposed to the commonly-argued notion of scarcity. Control lies not merely in the rarity of a rare earth, but instead in the potential influence possessed by it.</w:t>
      </w:r>
      <w:r w:rsidDel="00000000" w:rsidR="00000000" w:rsidRPr="00000000">
        <w:rPr>
          <w:rtl w:val="0"/>
        </w:rPr>
      </w:r>
    </w:p>
    <w:p w:rsidR="00000000" w:rsidDel="00000000" w:rsidP="00000000" w:rsidRDefault="00000000" w:rsidRPr="00000000" w14:paraId="0000000D">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I appreciate as always the phenomenal contributors to this volume, their research, fieldwork, and naturally the patience with the editorial process these essays required to ensure only the highest quality. Like the minerals leaving Chinese processing plants, my team and I believe in refining, emphasizing purities, and developing the optimal product from the hard work of our teams and contributors, from all corners of the globe.</w:t>
      </w:r>
      <w:r w:rsidDel="00000000" w:rsidR="00000000" w:rsidRPr="00000000">
        <w:rPr>
          <w:rtl w:val="0"/>
        </w:rPr>
      </w:r>
    </w:p>
    <w:p w:rsidR="00000000" w:rsidDel="00000000" w:rsidP="00000000" w:rsidRDefault="00000000" w:rsidRPr="00000000" w14:paraId="0000000E">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Jack M. Lindstrom — Founder &amp; Publisher, Arctic Ledger</w:t>
      </w:r>
      <w:r w:rsidDel="00000000" w:rsidR="00000000" w:rsidRPr="00000000">
        <w:rPr>
          <w:rtl w:val="0"/>
        </w:rPr>
      </w:r>
    </w:p>
    <w:p w:rsidR="00000000" w:rsidDel="00000000" w:rsidP="00000000" w:rsidRDefault="00000000" w:rsidRPr="00000000" w14:paraId="0000000F">
      <w:pPr>
        <w:rPr/>
      </w:pPr>
      <w:r w:rsidDel="00000000" w:rsidR="00000000" w:rsidRPr="00000000">
        <w:br w:type="page"/>
      </w:r>
      <w:r w:rsidDel="00000000" w:rsidR="00000000" w:rsidRPr="00000000">
        <w:rPr>
          <w:rtl w:val="0"/>
        </w:rPr>
      </w:r>
    </w:p>
    <w:p w:rsidR="00000000" w:rsidDel="00000000" w:rsidP="00000000" w:rsidRDefault="00000000" w:rsidRPr="00000000" w14:paraId="00000010">
      <w:pPr>
        <w:pStyle w:val="Heading1"/>
        <w:pBdr>
          <w:bottom w:color="1b3a5c" w:space="4" w:sz="6" w:val="single"/>
        </w:pBdr>
        <w:spacing w:after="200" w:before="300" w:line="276" w:lineRule="auto"/>
        <w:rPr/>
      </w:pPr>
      <w:r w:rsidDel="00000000" w:rsidR="00000000" w:rsidRPr="00000000">
        <w:rPr>
          <w:rFonts w:ascii="Times New Roman" w:cs="Times New Roman" w:eastAsia="Times New Roman" w:hAnsi="Times New Roman"/>
          <w:b w:val="1"/>
          <w:bCs w:val="1"/>
          <w:i w:val="0"/>
          <w:iCs w:val="0"/>
          <w:sz w:val="32"/>
          <w:szCs w:val="32"/>
          <w:rtl w:val="0"/>
        </w:rPr>
        <w:t xml:space="preserve">CONTRIBUTING INSTITUTIONS</w:t>
      </w:r>
      <w:r w:rsidDel="00000000" w:rsidR="00000000" w:rsidRPr="00000000">
        <w:rPr>
          <w:rtl w:val="0"/>
        </w:rPr>
      </w:r>
    </w:p>
    <w:p w:rsidR="00000000" w:rsidDel="00000000" w:rsidP="00000000" w:rsidRDefault="00000000" w:rsidRPr="00000000" w14:paraId="00000011">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UC San Diego School of Global Policy and Strategy (GPS) · Universidad CEU San Pablo · Universidad Camilo José Cela · Robert Morris University · Universitas Bakrie · Liberty University · Indira Gandhi National Open University · Guru Gobind Singh Indraprastha University · The George Washington University (Elliott School of International Affairs) · EPIS Thinktank · Onero Institute · Morocco's Ministry of Foreign Affairs, African Cooperation and Moroccan Expatriates · Pehchaan The Street School (Trust)</w:t>
      </w:r>
      <w:r w:rsidDel="00000000" w:rsidR="00000000" w:rsidRPr="00000000">
        <w:rPr>
          <w:rtl w:val="0"/>
        </w:rPr>
      </w:r>
    </w:p>
    <w:p w:rsidR="00000000" w:rsidDel="00000000" w:rsidP="00000000" w:rsidRDefault="00000000" w:rsidRPr="00000000" w14:paraId="00000012">
      <w:pPr>
        <w:rPr/>
      </w:pPr>
      <w:r w:rsidDel="00000000" w:rsidR="00000000" w:rsidRPr="00000000">
        <w:br w:type="page"/>
      </w:r>
      <w:r w:rsidDel="00000000" w:rsidR="00000000" w:rsidRPr="00000000">
        <w:rPr>
          <w:rtl w:val="0"/>
        </w:rPr>
      </w:r>
    </w:p>
    <w:p w:rsidR="00000000" w:rsidDel="00000000" w:rsidP="00000000" w:rsidRDefault="00000000" w:rsidRPr="00000000" w14:paraId="00000013">
      <w:pPr>
        <w:pStyle w:val="Heading1"/>
        <w:pBdr>
          <w:bottom w:color="1b3a5c" w:space="4" w:sz="6" w:val="single"/>
        </w:pBdr>
        <w:spacing w:after="200" w:before="300" w:line="276" w:lineRule="auto"/>
        <w:rPr/>
      </w:pPr>
      <w:r w:rsidDel="00000000" w:rsidR="00000000" w:rsidRPr="00000000">
        <w:rPr>
          <w:rFonts w:ascii="Times New Roman" w:cs="Times New Roman" w:eastAsia="Times New Roman" w:hAnsi="Times New Roman"/>
          <w:b w:val="1"/>
          <w:bCs w:val="1"/>
          <w:i w:val="0"/>
          <w:iCs w:val="0"/>
          <w:sz w:val="32"/>
          <w:szCs w:val="32"/>
          <w:rtl w:val="0"/>
        </w:rPr>
        <w:t xml:space="preserve">HOW TO CITE THIS VOLUME</w:t>
      </w:r>
      <w:r w:rsidDel="00000000" w:rsidR="00000000" w:rsidRPr="00000000">
        <w:rPr>
          <w:rtl w:val="0"/>
        </w:rPr>
      </w:r>
    </w:p>
    <w:p w:rsidR="00000000" w:rsidDel="00000000" w:rsidP="00000000" w:rsidRDefault="00000000" w:rsidRPr="00000000" w14:paraId="00000014">
      <w:pPr>
        <w:pStyle w:val="Heading2"/>
        <w:spacing w:after="120" w:before="240" w:lineRule="auto"/>
        <w:rPr/>
      </w:pPr>
      <w:r w:rsidDel="00000000" w:rsidR="00000000" w:rsidRPr="00000000">
        <w:rPr>
          <w:rFonts w:ascii="Times New Roman" w:cs="Times New Roman" w:eastAsia="Times New Roman" w:hAnsi="Times New Roman"/>
          <w:b w:val="1"/>
          <w:bCs w:val="1"/>
          <w:i w:val="0"/>
          <w:iCs w:val="0"/>
          <w:sz w:val="24"/>
          <w:szCs w:val="24"/>
          <w:rtl w:val="0"/>
        </w:rPr>
        <w:t xml:space="preserve">Volume citation:</w:t>
      </w:r>
      <w:r w:rsidDel="00000000" w:rsidR="00000000" w:rsidRPr="00000000">
        <w:rPr>
          <w:rtl w:val="0"/>
        </w:rPr>
      </w:r>
    </w:p>
    <w:p w:rsidR="00000000" w:rsidDel="00000000" w:rsidP="00000000" w:rsidRDefault="00000000" w:rsidRPr="00000000" w14:paraId="00000015">
      <w:pPr>
        <w:spacing w:after="160" w:line="276" w:lineRule="auto"/>
        <w:jc w:val="both"/>
        <w:rPr/>
      </w:pPr>
      <w:r w:rsidDel="00000000" w:rsidR="00000000" w:rsidRPr="00000000">
        <w:rPr>
          <w:rFonts w:ascii="Times New Roman" w:cs="Times New Roman" w:eastAsia="Times New Roman" w:hAnsi="Times New Roman"/>
          <w:sz w:val="22"/>
          <w:szCs w:val="22"/>
          <w:rtl w:val="0"/>
        </w:rPr>
        <w:t xml:space="preserve">Lindstrom, Jack M., ed. Arctic Ledger, Vol. II. September–October 2026.</w:t>
      </w:r>
      <w:r w:rsidDel="00000000" w:rsidR="00000000" w:rsidRPr="00000000">
        <w:rPr>
          <w:rtl w:val="0"/>
        </w:rPr>
      </w:r>
    </w:p>
    <w:p w:rsidR="00000000" w:rsidDel="00000000" w:rsidP="00000000" w:rsidRDefault="00000000" w:rsidRPr="00000000" w14:paraId="00000016">
      <w:pPr>
        <w:pStyle w:val="Heading2"/>
        <w:spacing w:after="120" w:before="240" w:lineRule="auto"/>
        <w:rPr/>
      </w:pPr>
      <w:r w:rsidDel="00000000" w:rsidR="00000000" w:rsidRPr="00000000">
        <w:rPr>
          <w:rFonts w:ascii="Times New Roman" w:cs="Times New Roman" w:eastAsia="Times New Roman" w:hAnsi="Times New Roman"/>
          <w:b w:val="1"/>
          <w:bCs w:val="1"/>
          <w:i w:val="0"/>
          <w:iCs w:val="0"/>
          <w:sz w:val="24"/>
          <w:szCs w:val="24"/>
          <w:rtl w:val="0"/>
        </w:rPr>
        <w:t xml:space="preserve">Individual article citation (example):</w:t>
      </w:r>
      <w:r w:rsidDel="00000000" w:rsidR="00000000" w:rsidRPr="00000000">
        <w:rPr>
          <w:rtl w:val="0"/>
        </w:rPr>
      </w:r>
    </w:p>
    <w:p w:rsidR="00000000" w:rsidDel="00000000" w:rsidP="00000000" w:rsidRDefault="00000000" w:rsidRPr="00000000" w14:paraId="00000017">
      <w:pPr>
        <w:spacing w:after="160" w:line="276" w:lineRule="auto"/>
        <w:jc w:val="both"/>
        <w:rPr/>
      </w:pPr>
      <w:r w:rsidDel="00000000" w:rsidR="00000000" w:rsidRPr="00000000">
        <w:rPr>
          <w:rFonts w:ascii="Times New Roman" w:cs="Times New Roman" w:eastAsia="Times New Roman" w:hAnsi="Times New Roman"/>
          <w:sz w:val="22"/>
          <w:szCs w:val="22"/>
          <w:rtl w:val="0"/>
        </w:rPr>
        <w:t xml:space="preserve">Mouhajir, Souheil. "</w:t>
      </w:r>
      <w:r w:rsidDel="00000000" w:rsidR="00000000" w:rsidRPr="00000000">
        <w:rPr>
          <w:rtl w:val="0"/>
        </w:rPr>
        <w:t xml:space="preserve">Black Sands: Egypt’s Vanishing Radioactive Minerals</w:t>
      </w:r>
      <w:r w:rsidDel="00000000" w:rsidR="00000000" w:rsidRPr="00000000">
        <w:rPr>
          <w:rFonts w:ascii="Times New Roman" w:cs="Times New Roman" w:eastAsia="Times New Roman" w:hAnsi="Times New Roman"/>
          <w:sz w:val="22"/>
          <w:szCs w:val="22"/>
          <w:rtl w:val="0"/>
        </w:rPr>
        <w:t xml:space="preserve">." Arctic Ledger, Vol. II (September–October 2026).</w:t>
      </w:r>
      <w:r w:rsidDel="00000000" w:rsidR="00000000" w:rsidRPr="00000000">
        <w:rPr>
          <w:rtl w:val="0"/>
        </w:rPr>
      </w:r>
    </w:p>
    <w:p w:rsidR="00000000" w:rsidDel="00000000" w:rsidP="00000000" w:rsidRDefault="00000000" w:rsidRPr="00000000" w14:paraId="00000018">
      <w:pPr>
        <w:rPr/>
      </w:pPr>
      <w:r w:rsidDel="00000000" w:rsidR="00000000" w:rsidRPr="00000000">
        <w:br w:type="page"/>
      </w:r>
      <w:r w:rsidDel="00000000" w:rsidR="00000000" w:rsidRPr="00000000">
        <w:rPr>
          <w:rtl w:val="0"/>
        </w:rPr>
      </w:r>
    </w:p>
    <w:p w:rsidR="00000000" w:rsidDel="00000000" w:rsidP="00000000" w:rsidRDefault="00000000" w:rsidRPr="00000000" w14:paraId="00000019">
      <w:pPr>
        <w:pStyle w:val="Heading1"/>
        <w:pBdr>
          <w:bottom w:color="1b3a5c" w:space="4" w:sz="6" w:val="single"/>
        </w:pBdr>
        <w:spacing w:after="200" w:before="300" w:line="276" w:lineRule="auto"/>
        <w:rPr/>
      </w:pPr>
      <w:r w:rsidDel="00000000" w:rsidR="00000000" w:rsidRPr="00000000">
        <w:rPr>
          <w:rFonts w:ascii="Times New Roman" w:cs="Times New Roman" w:eastAsia="Times New Roman" w:hAnsi="Times New Roman"/>
          <w:b w:val="1"/>
          <w:bCs w:val="1"/>
          <w:i w:val="0"/>
          <w:iCs w:val="0"/>
          <w:sz w:val="32"/>
          <w:szCs w:val="32"/>
          <w:rtl w:val="0"/>
        </w:rPr>
        <w:t xml:space="preserve">In This Issue</w:t>
      </w:r>
      <w:r w:rsidDel="00000000" w:rsidR="00000000" w:rsidRPr="00000000">
        <w:rPr>
          <w:rtl w:val="0"/>
        </w:rPr>
      </w:r>
    </w:p>
    <w:p w:rsidR="00000000" w:rsidDel="00000000" w:rsidP="00000000" w:rsidRDefault="00000000" w:rsidRPr="00000000" w14:paraId="0000001A">
      <w:pPr>
        <w:jc w:val="both"/>
        <w:rPr/>
      </w:pPr>
      <w:r w:rsidDel="00000000" w:rsidR="00000000" w:rsidRPr="00000000">
        <w:rPr>
          <w:rFonts w:ascii="Times New Roman" w:cs="Times New Roman" w:eastAsia="Times New Roman" w:hAnsi="Times New Roman"/>
          <w:b w:val="1"/>
          <w:bCs w:val="1"/>
          <w:i w:val="0"/>
          <w:iCs w:val="0"/>
          <w:sz w:val="24"/>
          <w:szCs w:val="24"/>
          <w:rtl w:val="0"/>
        </w:rPr>
        <w:t xml:space="preserve">From Critical Minerals to Critical Components: AI, China, and the New Geography of Chokepoints</w:t>
      </w:r>
      <w:r w:rsidDel="00000000" w:rsidR="00000000" w:rsidRPr="00000000">
        <w:rPr>
          <w:rtl w:val="0"/>
        </w:rPr>
      </w:r>
    </w:p>
    <w:p w:rsidR="00000000" w:rsidDel="00000000" w:rsidP="00000000" w:rsidRDefault="00000000" w:rsidRPr="00000000" w14:paraId="0000001B">
      <w:pPr>
        <w:jc w:val="both"/>
        <w:rPr/>
      </w:pPr>
      <w:r w:rsidDel="00000000" w:rsidR="00000000" w:rsidRPr="00000000">
        <w:rPr>
          <w:rFonts w:ascii="Times New Roman" w:cs="Times New Roman" w:eastAsia="Times New Roman" w:hAnsi="Times New Roman"/>
          <w:b w:val="0"/>
          <w:bCs w:val="0"/>
          <w:i w:val="1"/>
          <w:iCs w:val="1"/>
          <w:sz w:val="24"/>
          <w:szCs w:val="24"/>
          <w:rtl w:val="0"/>
        </w:rPr>
        <w:t xml:space="preserve">J. M. Lindstrom</w:t>
      </w:r>
      <w:r w:rsidDel="00000000" w:rsidR="00000000" w:rsidRPr="00000000">
        <w:rPr>
          <w:rtl w:val="0"/>
        </w:rPr>
      </w:r>
    </w:p>
    <w:p w:rsidR="00000000" w:rsidDel="00000000" w:rsidP="00000000" w:rsidRDefault="00000000" w:rsidRPr="00000000" w14:paraId="0000001C">
      <w:pPr>
        <w:jc w:val="both"/>
        <w:rPr/>
      </w:pPr>
      <w:r w:rsidDel="00000000" w:rsidR="00000000" w:rsidRPr="00000000">
        <w:rPr>
          <w:b w:val="1"/>
          <w:bCs w:val="1"/>
          <w:sz w:val="24"/>
          <w:szCs w:val="24"/>
          <w:rtl w:val="0"/>
        </w:rPr>
        <w:t xml:space="preserve">Black Sands: Egypt’s Vanishing Radioactive Minerals</w:t>
      </w:r>
      <w:r w:rsidDel="00000000" w:rsidR="00000000" w:rsidRPr="00000000">
        <w:rPr>
          <w:rtl w:val="0"/>
        </w:rPr>
      </w:r>
    </w:p>
    <w:p w:rsidR="00000000" w:rsidDel="00000000" w:rsidP="00000000" w:rsidRDefault="00000000" w:rsidRPr="00000000" w14:paraId="0000001D">
      <w:pPr>
        <w:jc w:val="both"/>
        <w:rPr/>
      </w:pPr>
      <w:r w:rsidDel="00000000" w:rsidR="00000000" w:rsidRPr="00000000">
        <w:rPr>
          <w:rFonts w:ascii="Times New Roman" w:cs="Times New Roman" w:eastAsia="Times New Roman" w:hAnsi="Times New Roman"/>
          <w:b w:val="0"/>
          <w:bCs w:val="0"/>
          <w:i w:val="1"/>
          <w:iCs w:val="1"/>
          <w:sz w:val="24"/>
          <w:szCs w:val="24"/>
          <w:rtl w:val="0"/>
        </w:rPr>
        <w:t xml:space="preserve">Souheil Mouhajir, J. M. Lindstrom</w:t>
      </w:r>
      <w:r w:rsidDel="00000000" w:rsidR="00000000" w:rsidRPr="00000000">
        <w:rPr>
          <w:rtl w:val="0"/>
        </w:rPr>
      </w:r>
    </w:p>
    <w:p w:rsidR="00000000" w:rsidDel="00000000" w:rsidP="00000000" w:rsidRDefault="00000000" w:rsidRPr="00000000" w14:paraId="0000001E">
      <w:pPr>
        <w:jc w:val="both"/>
        <w:rPr/>
      </w:pPr>
      <w:r w:rsidDel="00000000" w:rsidR="00000000" w:rsidRPr="00000000">
        <w:rPr>
          <w:rFonts w:ascii="Times New Roman" w:cs="Times New Roman" w:eastAsia="Times New Roman" w:hAnsi="Times New Roman"/>
          <w:b w:val="1"/>
          <w:bCs w:val="1"/>
          <w:i w:val="0"/>
          <w:iCs w:val="0"/>
          <w:sz w:val="24"/>
          <w:szCs w:val="24"/>
          <w:rtl w:val="0"/>
        </w:rPr>
        <w:t xml:space="preserve">Norway's Seabed Reversal and the Supply Gap Nobody Is Counting</w:t>
      </w:r>
      <w:r w:rsidDel="00000000" w:rsidR="00000000" w:rsidRPr="00000000">
        <w:rPr>
          <w:rtl w:val="0"/>
        </w:rPr>
      </w:r>
    </w:p>
    <w:p w:rsidR="00000000" w:rsidDel="00000000" w:rsidP="00000000" w:rsidRDefault="00000000" w:rsidRPr="00000000" w14:paraId="0000001F">
      <w:pPr>
        <w:jc w:val="both"/>
        <w:rPr/>
      </w:pPr>
      <w:r w:rsidDel="00000000" w:rsidR="00000000" w:rsidRPr="00000000">
        <w:rPr>
          <w:rFonts w:ascii="Times New Roman" w:cs="Times New Roman" w:eastAsia="Times New Roman" w:hAnsi="Times New Roman"/>
          <w:b w:val="0"/>
          <w:bCs w:val="0"/>
          <w:i w:val="1"/>
          <w:iCs w:val="1"/>
          <w:sz w:val="24"/>
          <w:szCs w:val="24"/>
          <w:rtl w:val="0"/>
        </w:rPr>
        <w:t xml:space="preserve">J. M. Lindstrom</w:t>
      </w:r>
      <w:r w:rsidDel="00000000" w:rsidR="00000000" w:rsidRPr="00000000">
        <w:rPr>
          <w:rtl w:val="0"/>
        </w:rPr>
      </w:r>
    </w:p>
    <w:p w:rsidR="00000000" w:rsidDel="00000000" w:rsidP="00000000" w:rsidRDefault="00000000" w:rsidRPr="00000000" w14:paraId="00000020">
      <w:pPr>
        <w:jc w:val="both"/>
        <w:rPr/>
      </w:pPr>
      <w:r w:rsidDel="00000000" w:rsidR="00000000" w:rsidRPr="00000000">
        <w:rPr>
          <w:b w:val="1"/>
          <w:bCs w:val="1"/>
          <w:sz w:val="24"/>
          <w:szCs w:val="24"/>
          <w:rtl w:val="0"/>
        </w:rPr>
        <w:t xml:space="preserve">Mineral Laundering &amp; Militias: Tracing Beneficial Ownership Behind Critical Mineral Transactions</w:t>
      </w:r>
      <w:r w:rsidDel="00000000" w:rsidR="00000000" w:rsidRPr="00000000">
        <w:rPr>
          <w:rtl w:val="0"/>
        </w:rPr>
      </w:r>
    </w:p>
    <w:p w:rsidR="00000000" w:rsidDel="00000000" w:rsidP="00000000" w:rsidRDefault="00000000" w:rsidRPr="00000000" w14:paraId="00000021">
      <w:pPr>
        <w:jc w:val="both"/>
        <w:rPr/>
      </w:pPr>
      <w:r w:rsidDel="00000000" w:rsidR="00000000" w:rsidRPr="00000000">
        <w:rPr>
          <w:rFonts w:ascii="Times New Roman" w:cs="Times New Roman" w:eastAsia="Times New Roman" w:hAnsi="Times New Roman"/>
          <w:b w:val="0"/>
          <w:bCs w:val="0"/>
          <w:i w:val="1"/>
          <w:iCs w:val="1"/>
          <w:sz w:val="24"/>
          <w:szCs w:val="24"/>
          <w:rtl w:val="0"/>
        </w:rPr>
        <w:t xml:space="preserve">Alexander Bagnull, Jack Lindstrom</w:t>
      </w:r>
      <w:r w:rsidDel="00000000" w:rsidR="00000000" w:rsidRPr="00000000">
        <w:rPr>
          <w:rtl w:val="0"/>
        </w:rPr>
      </w:r>
    </w:p>
    <w:p w:rsidR="00000000" w:rsidDel="00000000" w:rsidP="00000000" w:rsidRDefault="00000000" w:rsidRPr="00000000" w14:paraId="00000022">
      <w:pPr>
        <w:jc w:val="both"/>
        <w:rPr/>
      </w:pPr>
      <w:r w:rsidDel="00000000" w:rsidR="00000000" w:rsidRPr="00000000">
        <w:rPr>
          <w:rFonts w:ascii="Times New Roman" w:cs="Times New Roman" w:eastAsia="Times New Roman" w:hAnsi="Times New Roman"/>
          <w:b w:val="1"/>
          <w:bCs w:val="1"/>
          <w:i w:val="0"/>
          <w:iCs w:val="0"/>
          <w:sz w:val="24"/>
          <w:szCs w:val="24"/>
          <w:rtl w:val="0"/>
        </w:rPr>
        <w:t xml:space="preserve">Indo-Pacific Positioning: Indonesia, the Philippines, and Australia in the Critical Minerals Competition</w:t>
      </w:r>
      <w:r w:rsidDel="00000000" w:rsidR="00000000" w:rsidRPr="00000000">
        <w:rPr>
          <w:rtl w:val="0"/>
        </w:rPr>
      </w:r>
    </w:p>
    <w:p w:rsidR="00000000" w:rsidDel="00000000" w:rsidP="00000000" w:rsidRDefault="00000000" w:rsidRPr="00000000" w14:paraId="00000023">
      <w:pPr>
        <w:jc w:val="both"/>
        <w:rPr/>
      </w:pPr>
      <w:r w:rsidDel="00000000" w:rsidR="00000000" w:rsidRPr="00000000">
        <w:rPr>
          <w:rFonts w:ascii="Times New Roman" w:cs="Times New Roman" w:eastAsia="Times New Roman" w:hAnsi="Times New Roman"/>
          <w:b w:val="0"/>
          <w:bCs w:val="0"/>
          <w:i w:val="1"/>
          <w:iCs w:val="1"/>
          <w:sz w:val="24"/>
          <w:szCs w:val="24"/>
          <w:rtl w:val="0"/>
        </w:rPr>
        <w:t xml:space="preserve">Ahmad Azzam, Jack Lindstrom</w:t>
      </w:r>
      <w:r w:rsidDel="00000000" w:rsidR="00000000" w:rsidRPr="00000000">
        <w:rPr>
          <w:rtl w:val="0"/>
        </w:rPr>
      </w:r>
    </w:p>
    <w:p w:rsidR="00000000" w:rsidDel="00000000" w:rsidP="00000000" w:rsidRDefault="00000000" w:rsidRPr="00000000" w14:paraId="00000024">
      <w:pPr>
        <w:jc w:val="both"/>
        <w:rPr/>
      </w:pPr>
      <w:r w:rsidDel="00000000" w:rsidR="00000000" w:rsidRPr="00000000">
        <w:rPr>
          <w:rFonts w:ascii="Times New Roman" w:cs="Times New Roman" w:eastAsia="Times New Roman" w:hAnsi="Times New Roman"/>
          <w:b w:val="1"/>
          <w:bCs w:val="1"/>
          <w:i w:val="0"/>
          <w:iCs w:val="0"/>
          <w:sz w:val="24"/>
          <w:szCs w:val="24"/>
          <w:rtl w:val="0"/>
        </w:rPr>
        <w:t xml:space="preserve">The Yakjilva Mine as a Showcase of China's Eurasian Resource Access Strategy</w:t>
      </w:r>
      <w:r w:rsidDel="00000000" w:rsidR="00000000" w:rsidRPr="00000000">
        <w:rPr>
          <w:rtl w:val="0"/>
        </w:rPr>
      </w:r>
    </w:p>
    <w:p w:rsidR="00000000" w:rsidDel="00000000" w:rsidP="00000000" w:rsidRDefault="00000000" w:rsidRPr="00000000" w14:paraId="00000025">
      <w:pPr>
        <w:jc w:val="both"/>
        <w:rPr/>
      </w:pPr>
      <w:r w:rsidDel="00000000" w:rsidR="00000000" w:rsidRPr="00000000">
        <w:rPr>
          <w:rFonts w:ascii="Times New Roman" w:cs="Times New Roman" w:eastAsia="Times New Roman" w:hAnsi="Times New Roman"/>
          <w:b w:val="0"/>
          <w:bCs w:val="0"/>
          <w:i w:val="1"/>
          <w:iCs w:val="1"/>
          <w:sz w:val="24"/>
          <w:szCs w:val="24"/>
          <w:rtl w:val="0"/>
        </w:rPr>
        <w:t xml:space="preserve">Samuel Schlichting, J. M. Lindstrom</w:t>
      </w:r>
      <w:r w:rsidDel="00000000" w:rsidR="00000000" w:rsidRPr="00000000">
        <w:rPr>
          <w:rtl w:val="0"/>
        </w:rPr>
      </w:r>
    </w:p>
    <w:p w:rsidR="00000000" w:rsidDel="00000000" w:rsidP="00000000" w:rsidRDefault="00000000" w:rsidRPr="00000000" w14:paraId="00000026">
      <w:pPr>
        <w:jc w:val="both"/>
        <w:rPr/>
      </w:pPr>
      <w:r w:rsidDel="00000000" w:rsidR="00000000" w:rsidRPr="00000000">
        <w:rPr>
          <w:b w:val="1"/>
          <w:bCs w:val="1"/>
          <w:sz w:val="24"/>
          <w:szCs w:val="24"/>
          <w:rtl w:val="0"/>
        </w:rPr>
        <w:t xml:space="preserve">India's Critical-Minerals Processing Gap</w:t>
      </w:r>
      <w:r w:rsidDel="00000000" w:rsidR="00000000" w:rsidRPr="00000000">
        <w:rPr>
          <w:rtl w:val="0"/>
        </w:rPr>
      </w:r>
    </w:p>
    <w:p w:rsidR="00000000" w:rsidDel="00000000" w:rsidP="00000000" w:rsidRDefault="00000000" w:rsidRPr="00000000" w14:paraId="00000027">
      <w:pPr>
        <w:jc w:val="both"/>
        <w:rPr/>
      </w:pPr>
      <w:r w:rsidDel="00000000" w:rsidR="00000000" w:rsidRPr="00000000">
        <w:rPr>
          <w:rFonts w:ascii="Times New Roman" w:cs="Times New Roman" w:eastAsia="Times New Roman" w:hAnsi="Times New Roman"/>
          <w:b w:val="0"/>
          <w:bCs w:val="0"/>
          <w:i w:val="1"/>
          <w:iCs w:val="1"/>
          <w:sz w:val="24"/>
          <w:szCs w:val="24"/>
          <w:rtl w:val="0"/>
        </w:rPr>
        <w:t xml:space="preserve">J. M. Lindstrom, Aakansha Singh</w:t>
      </w:r>
      <w:r w:rsidDel="00000000" w:rsidR="00000000" w:rsidRPr="00000000">
        <w:rPr>
          <w:rtl w:val="0"/>
        </w:rPr>
      </w:r>
    </w:p>
    <w:p w:rsidR="00000000" w:rsidDel="00000000" w:rsidP="00000000" w:rsidRDefault="00000000" w:rsidRPr="00000000" w14:paraId="00000028">
      <w:pPr>
        <w:jc w:val="both"/>
        <w:rPr/>
      </w:pPr>
      <w:r w:rsidDel="00000000" w:rsidR="00000000" w:rsidRPr="00000000">
        <w:rPr>
          <w:rFonts w:ascii="Times New Roman" w:cs="Times New Roman" w:eastAsia="Times New Roman" w:hAnsi="Times New Roman"/>
          <w:b w:val="1"/>
          <w:bCs w:val="1"/>
          <w:i w:val="0"/>
          <w:iCs w:val="0"/>
          <w:sz w:val="24"/>
          <w:szCs w:val="24"/>
          <w:rtl w:val="0"/>
        </w:rPr>
        <w:t xml:space="preserve">Putting a Price on Legitimacy: Private Security Companies, Critical Minerals, and China</w:t>
      </w:r>
      <w:r w:rsidDel="00000000" w:rsidR="00000000" w:rsidRPr="00000000">
        <w:rPr>
          <w:rtl w:val="0"/>
        </w:rPr>
      </w:r>
    </w:p>
    <w:p w:rsidR="00000000" w:rsidDel="00000000" w:rsidP="00000000" w:rsidRDefault="00000000" w:rsidRPr="00000000" w14:paraId="00000029">
      <w:pPr>
        <w:jc w:val="both"/>
        <w:rPr/>
      </w:pPr>
      <w:r w:rsidDel="00000000" w:rsidR="00000000" w:rsidRPr="00000000">
        <w:rPr>
          <w:rFonts w:ascii="Times New Roman" w:cs="Times New Roman" w:eastAsia="Times New Roman" w:hAnsi="Times New Roman"/>
          <w:b w:val="0"/>
          <w:bCs w:val="0"/>
          <w:i w:val="1"/>
          <w:iCs w:val="1"/>
          <w:sz w:val="24"/>
          <w:szCs w:val="24"/>
          <w:rtl w:val="0"/>
        </w:rPr>
        <w:t xml:space="preserve">David Cristiano Aguado, J.M. Lindstrom</w:t>
      </w:r>
      <w:r w:rsidDel="00000000" w:rsidR="00000000" w:rsidRPr="00000000">
        <w:rPr>
          <w:rtl w:val="0"/>
        </w:rPr>
      </w:r>
    </w:p>
    <w:p w:rsidR="00000000" w:rsidDel="00000000" w:rsidP="00000000" w:rsidRDefault="00000000" w:rsidRPr="00000000" w14:paraId="0000002A">
      <w:pPr>
        <w:jc w:val="both"/>
        <w:rPr/>
      </w:pPr>
      <w:r w:rsidDel="00000000" w:rsidR="00000000" w:rsidRPr="00000000">
        <w:rPr>
          <w:rFonts w:ascii="Times New Roman" w:cs="Times New Roman" w:eastAsia="Times New Roman" w:hAnsi="Times New Roman"/>
          <w:b w:val="1"/>
          <w:bCs w:val="1"/>
          <w:i w:val="0"/>
          <w:iCs w:val="0"/>
          <w:sz w:val="24"/>
          <w:szCs w:val="24"/>
          <w:rtl w:val="0"/>
        </w:rPr>
        <w:t xml:space="preserve">Pearl Divers No Longer: China's Civil-Military Fusion in Critical Mineral Deep-Sea Extraction</w:t>
      </w:r>
      <w:r w:rsidDel="00000000" w:rsidR="00000000" w:rsidRPr="00000000">
        <w:rPr>
          <w:rtl w:val="0"/>
        </w:rPr>
      </w:r>
    </w:p>
    <w:p w:rsidR="00000000" w:rsidDel="00000000" w:rsidP="00000000" w:rsidRDefault="00000000" w:rsidRPr="00000000" w14:paraId="0000002B">
      <w:pPr>
        <w:jc w:val="both"/>
        <w:rPr/>
      </w:pPr>
      <w:r w:rsidDel="00000000" w:rsidR="00000000" w:rsidRPr="00000000">
        <w:rPr>
          <w:rFonts w:ascii="Times New Roman" w:cs="Times New Roman" w:eastAsia="Times New Roman" w:hAnsi="Times New Roman"/>
          <w:b w:val="0"/>
          <w:bCs w:val="0"/>
          <w:i w:val="1"/>
          <w:iCs w:val="1"/>
          <w:sz w:val="24"/>
          <w:szCs w:val="24"/>
          <w:rtl w:val="0"/>
        </w:rPr>
        <w:t xml:space="preserve">Jack Lindstrom</w:t>
      </w:r>
      <w:r w:rsidDel="00000000" w:rsidR="00000000" w:rsidRPr="00000000">
        <w:rPr>
          <w:rtl w:val="0"/>
        </w:rPr>
      </w:r>
    </w:p>
    <w:p w:rsidR="00000000" w:rsidDel="00000000" w:rsidP="00000000" w:rsidRDefault="00000000" w:rsidRPr="00000000" w14:paraId="0000002C">
      <w:pPr>
        <w:jc w:val="both"/>
        <w:rPr/>
      </w:pPr>
      <w:r w:rsidDel="00000000" w:rsidR="00000000" w:rsidRPr="00000000">
        <w:rPr>
          <w:rFonts w:ascii="Times New Roman" w:cs="Times New Roman" w:eastAsia="Times New Roman" w:hAnsi="Times New Roman"/>
          <w:b w:val="1"/>
          <w:bCs w:val="1"/>
          <w:i w:val="0"/>
          <w:iCs w:val="0"/>
          <w:sz w:val="24"/>
          <w:szCs w:val="24"/>
          <w:rtl w:val="0"/>
        </w:rPr>
        <w:t xml:space="preserve">The Sanctions and the System: Chinese Firms and US Responses</w:t>
      </w:r>
      <w:r w:rsidDel="00000000" w:rsidR="00000000" w:rsidRPr="00000000">
        <w:rPr>
          <w:rtl w:val="0"/>
        </w:rPr>
      </w:r>
    </w:p>
    <w:p w:rsidR="00000000" w:rsidDel="00000000" w:rsidP="00000000" w:rsidRDefault="00000000" w:rsidRPr="00000000" w14:paraId="0000002D">
      <w:pPr>
        <w:jc w:val="both"/>
        <w:rPr/>
      </w:pPr>
      <w:r w:rsidDel="00000000" w:rsidR="00000000" w:rsidRPr="00000000">
        <w:rPr>
          <w:rFonts w:ascii="Times New Roman" w:cs="Times New Roman" w:eastAsia="Times New Roman" w:hAnsi="Times New Roman"/>
          <w:b w:val="0"/>
          <w:bCs w:val="0"/>
          <w:i w:val="1"/>
          <w:iCs w:val="1"/>
          <w:sz w:val="24"/>
          <w:szCs w:val="24"/>
          <w:rtl w:val="0"/>
        </w:rPr>
        <w:t xml:space="preserve">Leonardo Gomez, </w:t>
      </w:r>
      <w:r w:rsidDel="00000000" w:rsidR="00000000" w:rsidRPr="00000000">
        <w:rPr>
          <w:i w:val="1"/>
          <w:iCs w:val="1"/>
          <w:sz w:val="24"/>
          <w:szCs w:val="24"/>
          <w:rtl w:val="0"/>
        </w:rPr>
        <w:t xml:space="preserve">J. M. Lindstrom</w:t>
      </w:r>
      <w:r w:rsidDel="00000000" w:rsidR="00000000" w:rsidRPr="00000000">
        <w:rPr>
          <w:rtl w:val="0"/>
        </w:rPr>
      </w:r>
    </w:p>
    <w:p w:rsidR="00000000" w:rsidDel="00000000" w:rsidP="00000000" w:rsidRDefault="00000000" w:rsidRPr="00000000" w14:paraId="0000002E">
      <w:pPr>
        <w:pStyle w:val="Heading1"/>
        <w:pBdr>
          <w:bottom w:color="1b3a5c" w:space="4" w:sz="6" w:val="single"/>
        </w:pBdr>
        <w:spacing w:after="200" w:before="300" w:line="276" w:lineRule="auto"/>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02F">
      <w:pPr>
        <w:pStyle w:val="Heading1"/>
        <w:pBdr>
          <w:bottom w:color="1b3a5c" w:space="4" w:sz="6" w:val="single"/>
        </w:pBdr>
        <w:spacing w:after="200" w:before="300" w:line="276" w:lineRule="auto"/>
        <w:rPr/>
      </w:pPr>
      <w:r w:rsidDel="00000000" w:rsidR="00000000" w:rsidRPr="00000000">
        <w:rPr>
          <w:rFonts w:ascii="Times New Roman" w:cs="Times New Roman" w:eastAsia="Times New Roman" w:hAnsi="Times New Roman"/>
          <w:b w:val="1"/>
          <w:bCs w:val="1"/>
          <w:i w:val="0"/>
          <w:iCs w:val="0"/>
          <w:sz w:val="32"/>
          <w:szCs w:val="32"/>
          <w:rtl w:val="0"/>
        </w:rPr>
        <w:t xml:space="preserve">ABOUT THE CONTRIBUTORS</w:t>
      </w:r>
      <w:r w:rsidDel="00000000" w:rsidR="00000000" w:rsidRPr="00000000">
        <w:rPr>
          <w:rtl w:val="0"/>
        </w:rPr>
      </w:r>
    </w:p>
    <w:p w:rsidR="00000000" w:rsidDel="00000000" w:rsidP="00000000" w:rsidRDefault="00000000" w:rsidRPr="00000000" w14:paraId="00000030">
      <w:pPr>
        <w:pStyle w:val="Heading2"/>
        <w:rPr/>
      </w:pPr>
      <w:r w:rsidDel="00000000" w:rsidR="00000000" w:rsidRPr="00000000">
        <w:rPr>
          <w:rFonts w:ascii="Times New Roman" w:cs="Times New Roman" w:eastAsia="Times New Roman" w:hAnsi="Times New Roman"/>
          <w:b w:val="1"/>
          <w:bCs w:val="1"/>
          <w:i w:val="0"/>
          <w:iCs w:val="0"/>
          <w:sz w:val="24"/>
          <w:szCs w:val="24"/>
          <w:rtl w:val="0"/>
        </w:rPr>
        <w:t xml:space="preserve">Jack M. Lindstrom — Founder &amp; Publisher, Arctic Ledger</w:t>
      </w:r>
      <w:r w:rsidDel="00000000" w:rsidR="00000000" w:rsidRPr="00000000">
        <w:rPr>
          <w:rtl w:val="0"/>
        </w:rPr>
      </w:r>
    </w:p>
    <w:p w:rsidR="00000000" w:rsidDel="00000000" w:rsidP="00000000" w:rsidRDefault="00000000" w:rsidRPr="00000000" w14:paraId="00000031">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Master of International Affairs candidate, UC San Diego School of Global Policy and Strategy. Junior Researcher under Leonard Hochberg, The Mackinder Forum. Co-author or contributing editor of each essay in this volume, including sole authorship of "Pearl Divers No Longer: China's Civil-Military Fusion in Critical Mineral Deep-Sea Extraction"; general editor of Arctic Ledger.</w:t>
      </w:r>
      <w:r w:rsidDel="00000000" w:rsidR="00000000" w:rsidRPr="00000000">
        <w:rPr>
          <w:rtl w:val="0"/>
        </w:rPr>
      </w:r>
    </w:p>
    <w:p w:rsidR="00000000" w:rsidDel="00000000" w:rsidP="00000000" w:rsidRDefault="00000000" w:rsidRPr="00000000" w14:paraId="00000032">
      <w:pPr>
        <w:pStyle w:val="Heading2"/>
        <w:rPr/>
      </w:pPr>
      <w:r w:rsidDel="00000000" w:rsidR="00000000" w:rsidRPr="00000000">
        <w:rPr>
          <w:rFonts w:ascii="Times New Roman" w:cs="Times New Roman" w:eastAsia="Times New Roman" w:hAnsi="Times New Roman"/>
          <w:b w:val="1"/>
          <w:bCs w:val="1"/>
          <w:i w:val="0"/>
          <w:iCs w:val="0"/>
          <w:sz w:val="24"/>
          <w:szCs w:val="24"/>
          <w:rtl w:val="0"/>
        </w:rPr>
        <w:t xml:space="preserve">Souheil Mouhajir — African Statecraft Researcher</w:t>
      </w:r>
      <w:r w:rsidDel="00000000" w:rsidR="00000000" w:rsidRPr="00000000">
        <w:rPr>
          <w:rtl w:val="0"/>
        </w:rPr>
      </w:r>
    </w:p>
    <w:p w:rsidR="00000000" w:rsidDel="00000000" w:rsidP="00000000" w:rsidRDefault="00000000" w:rsidRPr="00000000" w14:paraId="00000033">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International Affairs &amp; Data Science, The George Washington University (Elliott School), where he is a Presidential Scholar. Co-Director, Onero Institute Africa Program; researcher on AI governance and emerging technology policy with Demistef.AI. Contributed "</w:t>
      </w:r>
      <w:r w:rsidDel="00000000" w:rsidR="00000000" w:rsidRPr="00000000">
        <w:rPr>
          <w:rtl w:val="0"/>
        </w:rPr>
        <w:t xml:space="preserve">Black Sands: Egypt’s Vanishing Radioactive Minerals</w:t>
      </w:r>
      <w:r w:rsidDel="00000000" w:rsidR="00000000" w:rsidRPr="00000000">
        <w:rPr>
          <w:rFonts w:ascii="Times New Roman" w:cs="Times New Roman" w:eastAsia="Times New Roman" w:hAnsi="Times New Roman"/>
          <w:b w:val="0"/>
          <w:bCs w:val="0"/>
          <w:i w:val="0"/>
          <w:iCs w:val="0"/>
          <w:sz w:val="22"/>
          <w:szCs w:val="22"/>
          <w:rtl w:val="0"/>
        </w:rPr>
        <w:t xml:space="preserve">"</w:t>
      </w:r>
      <w:r w:rsidDel="00000000" w:rsidR="00000000" w:rsidRPr="00000000">
        <w:rPr>
          <w:rtl w:val="0"/>
        </w:rPr>
        <w:t xml:space="preserve">.</w:t>
      </w:r>
    </w:p>
    <w:p w:rsidR="00000000" w:rsidDel="00000000" w:rsidP="00000000" w:rsidRDefault="00000000" w:rsidRPr="00000000" w14:paraId="00000034">
      <w:pPr>
        <w:jc w:val="both"/>
        <w:rPr/>
      </w:pPr>
      <w:r w:rsidDel="00000000" w:rsidR="00000000" w:rsidRPr="00000000">
        <w:rPr>
          <w:rFonts w:ascii="Times New Roman" w:cs="Times New Roman" w:eastAsia="Times New Roman" w:hAnsi="Times New Roman"/>
          <w:b w:val="1"/>
          <w:bCs w:val="1"/>
          <w:i w:val="0"/>
          <w:iCs w:val="0"/>
          <w:sz w:val="24"/>
          <w:szCs w:val="24"/>
          <w:rtl w:val="0"/>
        </w:rPr>
        <w:t xml:space="preserve">Alexander Bagnull — OSINT &amp; Beneficial Ownership Analyst</w:t>
      </w:r>
      <w:r w:rsidDel="00000000" w:rsidR="00000000" w:rsidRPr="00000000">
        <w:rPr>
          <w:rtl w:val="0"/>
        </w:rPr>
      </w:r>
    </w:p>
    <w:p w:rsidR="00000000" w:rsidDel="00000000" w:rsidP="00000000" w:rsidRDefault="00000000" w:rsidRPr="00000000" w14:paraId="00000035">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Open-Source Intelligence Analyst. B.S. and M.S. in Cybersecurity, Robert Morris University, with graduate research on OSINT investigation, advanced persistent threats, and AI applications in banking-sector cybersecurity. Contributed "</w:t>
      </w:r>
      <w:r w:rsidDel="00000000" w:rsidR="00000000" w:rsidRPr="00000000">
        <w:rPr>
          <w:rtl w:val="0"/>
        </w:rPr>
        <w:t xml:space="preserve">Mineral Laundering &amp; Militias: Tracing Beneficial Ownership Behind Critical Mineral Transactions</w:t>
      </w:r>
      <w:r w:rsidDel="00000000" w:rsidR="00000000" w:rsidRPr="00000000">
        <w:rPr>
          <w:rFonts w:ascii="Times New Roman" w:cs="Times New Roman" w:eastAsia="Times New Roman" w:hAnsi="Times New Roman"/>
          <w:b w:val="0"/>
          <w:bCs w:val="0"/>
          <w:i w:val="0"/>
          <w:iCs w:val="0"/>
          <w:sz w:val="22"/>
          <w:szCs w:val="22"/>
          <w:rtl w:val="0"/>
        </w:rPr>
        <w:t xml:space="preserve">" to this volume.</w:t>
      </w:r>
      <w:r w:rsidDel="00000000" w:rsidR="00000000" w:rsidRPr="00000000">
        <w:rPr>
          <w:rtl w:val="0"/>
        </w:rPr>
      </w:r>
    </w:p>
    <w:p w:rsidR="00000000" w:rsidDel="00000000" w:rsidP="00000000" w:rsidRDefault="00000000" w:rsidRPr="00000000" w14:paraId="00000036">
      <w:pPr>
        <w:pStyle w:val="Heading2"/>
        <w:rPr/>
      </w:pPr>
      <w:r w:rsidDel="00000000" w:rsidR="00000000" w:rsidRPr="00000000">
        <w:rPr>
          <w:rFonts w:ascii="Times New Roman" w:cs="Times New Roman" w:eastAsia="Times New Roman" w:hAnsi="Times New Roman"/>
          <w:b w:val="1"/>
          <w:bCs w:val="1"/>
          <w:i w:val="0"/>
          <w:iCs w:val="0"/>
          <w:sz w:val="24"/>
          <w:szCs w:val="24"/>
          <w:rtl w:val="0"/>
        </w:rPr>
        <w:t xml:space="preserve">Ahmad Azzam — Researcher, Indo-Pacific Industrial Policy</w:t>
      </w:r>
      <w:r w:rsidDel="00000000" w:rsidR="00000000" w:rsidRPr="00000000">
        <w:rPr>
          <w:rtl w:val="0"/>
        </w:rPr>
      </w:r>
    </w:p>
    <w:p w:rsidR="00000000" w:rsidDel="00000000" w:rsidP="00000000" w:rsidRDefault="00000000" w:rsidRPr="00000000" w14:paraId="00000037">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International Relations graduate, Universitas Bakrie, Jakarta; McKinsey.org Forward Program graduate. Background in policy research and governance across Indonesia's foreign affairs community, including an internship at the Embassy of the Republic of Bulgaria. Contributed "Indo-Pacific Positioning: Indonesia, the Philippines, and Australia in the Critical Minerals Competition" to this volume.</w:t>
      </w:r>
      <w:r w:rsidDel="00000000" w:rsidR="00000000" w:rsidRPr="00000000">
        <w:rPr>
          <w:rtl w:val="0"/>
        </w:rPr>
      </w:r>
    </w:p>
    <w:p w:rsidR="00000000" w:rsidDel="00000000" w:rsidP="00000000" w:rsidRDefault="00000000" w:rsidRPr="00000000" w14:paraId="00000038">
      <w:pPr>
        <w:pStyle w:val="Heading2"/>
        <w:rPr/>
      </w:pPr>
      <w:r w:rsidDel="00000000" w:rsidR="00000000" w:rsidRPr="00000000">
        <w:rPr>
          <w:rFonts w:ascii="Times New Roman" w:cs="Times New Roman" w:eastAsia="Times New Roman" w:hAnsi="Times New Roman"/>
          <w:b w:val="1"/>
          <w:bCs w:val="1"/>
          <w:i w:val="0"/>
          <w:iCs w:val="0"/>
          <w:sz w:val="24"/>
          <w:szCs w:val="24"/>
          <w:rtl w:val="0"/>
        </w:rPr>
        <w:t xml:space="preserve">Samuel Schlichting — Political Theorist, Eurasian Borders</w:t>
      </w:r>
      <w:r w:rsidDel="00000000" w:rsidR="00000000" w:rsidRPr="00000000">
        <w:rPr>
          <w:rtl w:val="0"/>
        </w:rPr>
      </w:r>
    </w:p>
    <w:p w:rsidR="00000000" w:rsidDel="00000000" w:rsidP="00000000" w:rsidRDefault="00000000" w:rsidRPr="00000000" w14:paraId="00000039">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Ph.D., political theorist working on Eurasian borders, China, and Central Asia. Author of Balancing Structural Power: Reactions to China's Rise in Eurasia (Würzburg University Press). Based in Germany. Contributed "The Yakjilva Mine as a Showcase of China's Eurasian Resource Access Strategy" to this volume.</w:t>
      </w:r>
      <w:r w:rsidDel="00000000" w:rsidR="00000000" w:rsidRPr="00000000">
        <w:rPr>
          <w:rtl w:val="0"/>
        </w:rPr>
      </w:r>
    </w:p>
    <w:p w:rsidR="00000000" w:rsidDel="00000000" w:rsidP="00000000" w:rsidRDefault="00000000" w:rsidRPr="00000000" w14:paraId="0000003A">
      <w:pPr>
        <w:pStyle w:val="Heading2"/>
        <w:rPr/>
      </w:pPr>
      <w:r w:rsidDel="00000000" w:rsidR="00000000" w:rsidRPr="00000000">
        <w:rPr>
          <w:rFonts w:ascii="Times New Roman" w:cs="Times New Roman" w:eastAsia="Times New Roman" w:hAnsi="Times New Roman"/>
          <w:b w:val="1"/>
          <w:bCs w:val="1"/>
          <w:i w:val="0"/>
          <w:iCs w:val="0"/>
          <w:sz w:val="24"/>
          <w:szCs w:val="24"/>
          <w:rtl w:val="0"/>
        </w:rPr>
        <w:t xml:space="preserve">Aakansha Singh — Geopolitical Researcher</w:t>
      </w:r>
      <w:r w:rsidDel="00000000" w:rsidR="00000000" w:rsidRPr="00000000">
        <w:rPr>
          <w:rtl w:val="0"/>
        </w:rPr>
      </w:r>
    </w:p>
    <w:p w:rsidR="00000000" w:rsidDel="00000000" w:rsidP="00000000" w:rsidRDefault="00000000" w:rsidRPr="00000000" w14:paraId="0000003B">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Master's in Public Administration, Indira Gandhi National Open University; B.Tech in Civil Engineering, Guru Gobind Singh Indraprastha University. Background bridging infrastructure, governance, and policy evaluation. Contributed "</w:t>
      </w:r>
      <w:r w:rsidDel="00000000" w:rsidR="00000000" w:rsidRPr="00000000">
        <w:rPr>
          <w:rtl w:val="0"/>
        </w:rPr>
        <w:t xml:space="preserve">India's Critical-Minerals Processing Gap</w:t>
      </w:r>
      <w:r w:rsidDel="00000000" w:rsidR="00000000" w:rsidRPr="00000000">
        <w:rPr>
          <w:rFonts w:ascii="Times New Roman" w:cs="Times New Roman" w:eastAsia="Times New Roman" w:hAnsi="Times New Roman"/>
          <w:b w:val="0"/>
          <w:bCs w:val="0"/>
          <w:i w:val="0"/>
          <w:iCs w:val="0"/>
          <w:sz w:val="22"/>
          <w:szCs w:val="22"/>
          <w:rtl w:val="0"/>
        </w:rPr>
        <w:t xml:space="preserve">" to this volume.</w:t>
      </w:r>
      <w:r w:rsidDel="00000000" w:rsidR="00000000" w:rsidRPr="00000000">
        <w:rPr>
          <w:rtl w:val="0"/>
        </w:rPr>
      </w:r>
    </w:p>
    <w:p w:rsidR="00000000" w:rsidDel="00000000" w:rsidP="00000000" w:rsidRDefault="00000000" w:rsidRPr="00000000" w14:paraId="0000003C">
      <w:pPr>
        <w:pStyle w:val="Heading2"/>
        <w:rPr/>
      </w:pPr>
      <w:r w:rsidDel="00000000" w:rsidR="00000000" w:rsidRPr="00000000">
        <w:rPr>
          <w:rFonts w:ascii="Times New Roman" w:cs="Times New Roman" w:eastAsia="Times New Roman" w:hAnsi="Times New Roman"/>
          <w:b w:val="1"/>
          <w:bCs w:val="1"/>
          <w:i w:val="0"/>
          <w:iCs w:val="0"/>
          <w:sz w:val="24"/>
          <w:szCs w:val="24"/>
          <w:rtl w:val="0"/>
        </w:rPr>
        <w:t xml:space="preserve">David Cristiano Aguado — Security &amp; Defense Analyst</w:t>
      </w:r>
      <w:r w:rsidDel="00000000" w:rsidR="00000000" w:rsidRPr="00000000">
        <w:rPr>
          <w:rtl w:val="0"/>
        </w:rPr>
      </w:r>
    </w:p>
    <w:p w:rsidR="00000000" w:rsidDel="00000000" w:rsidP="00000000" w:rsidRDefault="00000000" w:rsidRPr="00000000" w14:paraId="0000003D">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Geopolitics, Security and Defence Analyst and Researcher, Universidad CEU San Pablo, Madrid; delegate, EPIS Thinktank. Author of thesis research comparing non-state legitimacy construction by the Provisional IRA and Hezbollah. Contributed "Putting a Price on Legitimacy: Private Security Companies, Critical Minerals, and China" to this volume.</w:t>
      </w:r>
      <w:r w:rsidDel="00000000" w:rsidR="00000000" w:rsidRPr="00000000">
        <w:rPr>
          <w:rtl w:val="0"/>
        </w:rPr>
      </w:r>
    </w:p>
    <w:p w:rsidR="00000000" w:rsidDel="00000000" w:rsidP="00000000" w:rsidRDefault="00000000" w:rsidRPr="00000000" w14:paraId="0000003E">
      <w:pPr>
        <w:pStyle w:val="Heading2"/>
        <w:rPr/>
      </w:pPr>
      <w:r w:rsidDel="00000000" w:rsidR="00000000" w:rsidRPr="00000000">
        <w:rPr>
          <w:rFonts w:ascii="Times New Roman" w:cs="Times New Roman" w:eastAsia="Times New Roman" w:hAnsi="Times New Roman"/>
          <w:b w:val="1"/>
          <w:bCs w:val="1"/>
          <w:i w:val="0"/>
          <w:iCs w:val="0"/>
          <w:sz w:val="24"/>
          <w:szCs w:val="24"/>
          <w:rtl w:val="0"/>
        </w:rPr>
        <w:t xml:space="preserve">Leonardo Gomez — Researcher, Sanctions and State-Owned Enterprise Policy</w:t>
      </w:r>
      <w:r w:rsidDel="00000000" w:rsidR="00000000" w:rsidRPr="00000000">
        <w:rPr>
          <w:rtl w:val="0"/>
        </w:rPr>
      </w:r>
    </w:p>
    <w:p w:rsidR="00000000" w:rsidDel="00000000" w:rsidP="00000000" w:rsidRDefault="00000000" w:rsidRPr="00000000" w14:paraId="0000003F">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Contributed "The Sanctions and the System: Chinese Firms and US Responses" to this volume, examining the institutional links between SASAC, Chinese policy banks, and civil-military fusion doctrine in China's overseas resource strategy.</w:t>
      </w:r>
      <w:r w:rsidDel="00000000" w:rsidR="00000000" w:rsidRPr="00000000">
        <w:rPr>
          <w:rtl w:val="0"/>
        </w:rPr>
      </w:r>
    </w:p>
    <w:p w:rsidR="00000000" w:rsidDel="00000000" w:rsidP="00000000" w:rsidRDefault="00000000" w:rsidRPr="00000000" w14:paraId="00000040">
      <w:pPr>
        <w:pStyle w:val="Heading1"/>
        <w:pBdr>
          <w:bottom w:color="1b3a5c" w:space="4" w:sz="6" w:val="single"/>
        </w:pBdr>
        <w:spacing w:after="200" w:before="300" w:line="276" w:lineRule="auto"/>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041">
      <w:pPr>
        <w:pStyle w:val="Heading1"/>
        <w:pBdr>
          <w:bottom w:color="1b3a5c" w:space="4" w:sz="6" w:val="single"/>
        </w:pBdr>
        <w:spacing w:after="200" w:before="300" w:line="276" w:lineRule="auto"/>
        <w:rPr/>
      </w:pPr>
      <w:r w:rsidDel="00000000" w:rsidR="00000000" w:rsidRPr="00000000">
        <w:rPr>
          <w:rFonts w:ascii="Times New Roman" w:cs="Times New Roman" w:eastAsia="Times New Roman" w:hAnsi="Times New Roman"/>
          <w:b w:val="1"/>
          <w:bCs w:val="1"/>
          <w:i w:val="0"/>
          <w:iCs w:val="0"/>
          <w:sz w:val="32"/>
          <w:szCs w:val="32"/>
          <w:rtl w:val="0"/>
        </w:rPr>
        <w:t xml:space="preserve">ABOUT ARCTIC LEDGER</w:t>
      </w:r>
      <w:r w:rsidDel="00000000" w:rsidR="00000000" w:rsidRPr="00000000">
        <w:rPr>
          <w:rtl w:val="0"/>
        </w:rPr>
      </w:r>
    </w:p>
    <w:p w:rsidR="00000000" w:rsidDel="00000000" w:rsidP="00000000" w:rsidRDefault="00000000" w:rsidRPr="00000000" w14:paraId="00000042">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Arctic Ledger is an independent research journal covering critical minerals, supply chain security, Arctic and maritime governance, and great power competition. It publishes original analysis from researchers, graduate students, and practitioners working across these fields, with contributors drawn from institutions worldwide. Arctic Ledger accepts no state or corporate funding.</w:t>
      </w:r>
      <w:r w:rsidDel="00000000" w:rsidR="00000000" w:rsidRPr="00000000">
        <w:rPr>
          <w:rtl w:val="0"/>
        </w:rPr>
      </w:r>
    </w:p>
    <w:p w:rsidR="00000000" w:rsidDel="00000000" w:rsidP="00000000" w:rsidRDefault="00000000" w:rsidRPr="00000000" w14:paraId="00000043">
      <w:pPr>
        <w:jc w:val="center"/>
        <w:rPr/>
      </w:pPr>
      <w:r w:rsidDel="00000000" w:rsidR="00000000" w:rsidRPr="00000000">
        <w:rPr>
          <w:rFonts w:ascii="Times New Roman" w:cs="Times New Roman" w:eastAsia="Times New Roman" w:hAnsi="Times New Roman"/>
          <w:b w:val="0"/>
          <w:bCs w:val="0"/>
          <w:i w:val="0"/>
          <w:iCs w:val="0"/>
          <w:sz w:val="22"/>
          <w:szCs w:val="22"/>
          <w:rtl w:val="0"/>
        </w:rPr>
        <w:t xml:space="preserve">arcticledger.org · editor@arcticledger.org</w:t>
      </w:r>
      <w:r w:rsidDel="00000000" w:rsidR="00000000" w:rsidRPr="00000000">
        <w:rPr>
          <w:rtl w:val="0"/>
        </w:rPr>
      </w:r>
    </w:p>
    <w:p w:rsidR="00000000" w:rsidDel="00000000" w:rsidP="00000000" w:rsidRDefault="00000000" w:rsidRPr="00000000" w14:paraId="00000044">
      <w:pPr>
        <w:rPr/>
      </w:pPr>
      <w:r w:rsidDel="00000000" w:rsidR="00000000" w:rsidRPr="00000000">
        <w:br w:type="page"/>
      </w:r>
      <w:r w:rsidDel="00000000" w:rsidR="00000000" w:rsidRPr="00000000">
        <w:rPr>
          <w:rtl w:val="0"/>
        </w:rPr>
      </w:r>
    </w:p>
    <w:p w:rsidR="00000000" w:rsidDel="00000000" w:rsidP="00000000" w:rsidRDefault="00000000" w:rsidRPr="00000000" w14:paraId="00000045">
      <w:pPr>
        <w:pStyle w:val="Heading1"/>
        <w:pBdr>
          <w:bottom w:color="1b3a5c" w:space="4" w:sz="6" w:val="single"/>
        </w:pBdr>
        <w:spacing w:after="200" w:before="300" w:line="276" w:lineRule="auto"/>
        <w:rPr/>
      </w:pPr>
      <w:r w:rsidDel="00000000" w:rsidR="00000000" w:rsidRPr="00000000">
        <w:rPr>
          <w:rFonts w:ascii="Times New Roman" w:cs="Times New Roman" w:eastAsia="Times New Roman" w:hAnsi="Times New Roman"/>
          <w:b w:val="1"/>
          <w:bCs w:val="1"/>
          <w:i w:val="0"/>
          <w:iCs w:val="0"/>
          <w:sz w:val="32"/>
          <w:szCs w:val="32"/>
          <w:rtl w:val="0"/>
        </w:rPr>
        <w:t xml:space="preserve">DISCLAIMER</w:t>
      </w:r>
      <w:r w:rsidDel="00000000" w:rsidR="00000000" w:rsidRPr="00000000">
        <w:rPr>
          <w:rtl w:val="0"/>
        </w:rPr>
      </w:r>
    </w:p>
    <w:p w:rsidR="00000000" w:rsidDel="00000000" w:rsidP="00000000" w:rsidRDefault="00000000" w:rsidRPr="00000000" w14:paraId="00000046">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The views expressed in each essay are those of the individual author(s) and do not represent the positions of Arctic Ledger, its editor, or any affiliated institution, employer, or organization named herein.</w:t>
      </w:r>
      <w:r w:rsidDel="00000000" w:rsidR="00000000" w:rsidRPr="00000000">
        <w:rPr>
          <w:rtl w:val="0"/>
        </w:rPr>
      </w:r>
    </w:p>
    <w:p w:rsidR="00000000" w:rsidDel="00000000" w:rsidP="00000000" w:rsidRDefault="00000000" w:rsidRPr="00000000" w14:paraId="00000047">
      <w:pPr>
        <w:jc w:val="both"/>
        <w:rPr>
          <w:i w:val="1"/>
          <w:iCs w:val="1"/>
        </w:rPr>
      </w:pPr>
      <w:r w:rsidDel="00000000" w:rsidR="00000000" w:rsidRPr="00000000">
        <w:rPr>
          <w:rFonts w:ascii="Times New Roman" w:cs="Times New Roman" w:eastAsia="Times New Roman" w:hAnsi="Times New Roman"/>
          <w:b w:val="0"/>
          <w:bCs w:val="0"/>
          <w:i w:val="1"/>
          <w:iCs w:val="1"/>
          <w:sz w:val="22"/>
          <w:szCs w:val="22"/>
          <w:rtl w:val="0"/>
        </w:rPr>
        <w:t xml:space="preserve">Papers have been reviewed by peers </w:t>
      </w:r>
      <w:r w:rsidDel="00000000" w:rsidR="00000000" w:rsidRPr="00000000">
        <w:rPr>
          <w:i w:val="1"/>
          <w:iCs w:val="1"/>
          <w:rtl w:val="0"/>
        </w:rPr>
        <w:t xml:space="preserve">from</w:t>
      </w:r>
      <w:r w:rsidDel="00000000" w:rsidR="00000000" w:rsidRPr="00000000">
        <w:rPr>
          <w:rFonts w:ascii="Times New Roman" w:cs="Times New Roman" w:eastAsia="Times New Roman" w:hAnsi="Times New Roman"/>
          <w:b w:val="0"/>
          <w:bCs w:val="0"/>
          <w:i w:val="1"/>
          <w:iCs w:val="1"/>
          <w:sz w:val="22"/>
          <w:szCs w:val="22"/>
          <w:rtl w:val="0"/>
        </w:rPr>
        <w:t xml:space="preserve"> the U.S. Naval War College, University of California, San Diego School of Global Policy and Strategy, affiliates close to the White House, House of Commons and the Select Committee on the CCP, strategists of NUPI and editors of The Arctic Institute to ensure quality of content, credibility of sourcing, and soundness of argument.</w:t>
      </w:r>
      <w:r w:rsidDel="00000000" w:rsidR="00000000" w:rsidRPr="00000000">
        <w:rPr>
          <w:rtl w:val="0"/>
        </w:rPr>
      </w:r>
    </w:p>
    <w:p w:rsidR="00000000" w:rsidDel="00000000" w:rsidP="00000000" w:rsidRDefault="00000000" w:rsidRPr="00000000" w14:paraId="00000048">
      <w:pPr>
        <w:rPr/>
      </w:pPr>
      <w:r w:rsidDel="00000000" w:rsidR="00000000" w:rsidRPr="00000000">
        <w:br w:type="page"/>
      </w:r>
      <w:r w:rsidDel="00000000" w:rsidR="00000000" w:rsidRPr="00000000">
        <w:rPr>
          <w:rtl w:val="0"/>
        </w:rPr>
      </w:r>
    </w:p>
    <w:p w:rsidR="00000000" w:rsidDel="00000000" w:rsidP="00000000" w:rsidRDefault="00000000" w:rsidRPr="00000000" w14:paraId="00000049">
      <w:pPr>
        <w:pStyle w:val="Heading1"/>
        <w:pBdr>
          <w:bottom w:color="1b3a5c" w:space="4" w:sz="6" w:val="single"/>
        </w:pBdr>
        <w:spacing w:after="200" w:before="300" w:line="276" w:lineRule="auto"/>
        <w:rPr/>
      </w:pPr>
      <w:r w:rsidDel="00000000" w:rsidR="00000000" w:rsidRPr="00000000">
        <w:rPr>
          <w:rFonts w:ascii="Times New Roman" w:cs="Times New Roman" w:eastAsia="Times New Roman" w:hAnsi="Times New Roman"/>
          <w:b w:val="1"/>
          <w:bCs w:val="1"/>
          <w:i w:val="0"/>
          <w:iCs w:val="0"/>
          <w:sz w:val="32"/>
          <w:szCs w:val="32"/>
          <w:rtl w:val="0"/>
        </w:rPr>
        <w:t xml:space="preserve">COPYRIGHT</w:t>
      </w:r>
      <w:r w:rsidDel="00000000" w:rsidR="00000000" w:rsidRPr="00000000">
        <w:rPr>
          <w:rtl w:val="0"/>
        </w:rPr>
      </w:r>
    </w:p>
    <w:p w:rsidR="00000000" w:rsidDel="00000000" w:rsidP="00000000" w:rsidRDefault="00000000" w:rsidRPr="00000000" w14:paraId="0000004A">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 2026 Arctic Ledger. All rights reserved. No part of this publication may be reproduced without permission, except for brief quotations used in critical review.</w:t>
      </w:r>
      <w:r w:rsidDel="00000000" w:rsidR="00000000" w:rsidRPr="00000000">
        <w:rPr>
          <w:rtl w:val="0"/>
        </w:rPr>
      </w:r>
    </w:p>
    <w:p w:rsidR="00000000" w:rsidDel="00000000" w:rsidP="00000000" w:rsidRDefault="00000000" w:rsidRPr="00000000" w14:paraId="0000004B">
      <w:pPr>
        <w:jc w:val="center"/>
        <w:rPr/>
      </w:pPr>
      <w:r w:rsidDel="00000000" w:rsidR="00000000" w:rsidRPr="00000000">
        <w:rPr>
          <w:rFonts w:ascii="Times New Roman" w:cs="Times New Roman" w:eastAsia="Times New Roman" w:hAnsi="Times New Roman"/>
          <w:b w:val="0"/>
          <w:bCs w:val="0"/>
          <w:i w:val="0"/>
          <w:iCs w:val="0"/>
          <w:sz w:val="22"/>
          <w:szCs w:val="22"/>
          <w:rtl w:val="0"/>
        </w:rPr>
        <w:t xml:space="preserve">arcticledger.org · editor@arcticledger.com</w:t>
      </w:r>
      <w:r w:rsidDel="00000000" w:rsidR="00000000" w:rsidRPr="00000000">
        <w:rPr>
          <w:rtl w:val="0"/>
        </w:rPr>
      </w:r>
    </w:p>
    <w:p w:rsidR="00000000" w:rsidDel="00000000" w:rsidP="00000000" w:rsidRDefault="00000000" w:rsidRPr="00000000" w14:paraId="0000004C">
      <w:pPr>
        <w:rPr/>
      </w:pPr>
      <w:r w:rsidDel="00000000" w:rsidR="00000000" w:rsidRPr="00000000">
        <w:br w:type="page"/>
      </w:r>
      <w:r w:rsidDel="00000000" w:rsidR="00000000" w:rsidRPr="00000000">
        <w:rPr>
          <w:rtl w:val="0"/>
        </w:rPr>
      </w:r>
    </w:p>
    <w:p w:rsidR="00000000" w:rsidDel="00000000" w:rsidP="00000000" w:rsidRDefault="00000000" w:rsidRPr="00000000" w14:paraId="0000004D">
      <w:pPr>
        <w:pStyle w:val="Heading1"/>
        <w:pBdr>
          <w:bottom w:color="1b3a5c" w:space="4" w:sz="6" w:val="single"/>
        </w:pBdr>
        <w:spacing w:after="200" w:before="300" w:line="276" w:lineRule="auto"/>
        <w:rPr/>
      </w:pPr>
      <w:r w:rsidDel="00000000" w:rsidR="00000000" w:rsidRPr="00000000">
        <w:rPr>
          <w:rFonts w:ascii="Times New Roman" w:cs="Times New Roman" w:eastAsia="Times New Roman" w:hAnsi="Times New Roman"/>
          <w:b w:val="1"/>
          <w:bCs w:val="1"/>
          <w:i w:val="0"/>
          <w:iCs w:val="0"/>
          <w:sz w:val="30"/>
          <w:szCs w:val="30"/>
          <w:rtl w:val="0"/>
        </w:rPr>
        <w:t xml:space="preserve">From Critical Minerals to Critical Components: AI, China, and the New Geography of Chokepoints</w:t>
      </w:r>
      <w:r w:rsidDel="00000000" w:rsidR="00000000" w:rsidRPr="00000000">
        <w:rPr>
          <w:rtl w:val="0"/>
        </w:rPr>
      </w:r>
    </w:p>
    <w:p w:rsidR="00000000" w:rsidDel="00000000" w:rsidP="00000000" w:rsidRDefault="00000000" w:rsidRPr="00000000" w14:paraId="0000004E">
      <w:pPr>
        <w:rPr/>
      </w:pPr>
      <w:r w:rsidDel="00000000" w:rsidR="00000000" w:rsidRPr="00000000">
        <w:rPr>
          <w:rFonts w:ascii="Times New Roman" w:cs="Times New Roman" w:eastAsia="Times New Roman" w:hAnsi="Times New Roman"/>
          <w:b w:val="0"/>
          <w:bCs w:val="0"/>
          <w:i w:val="1"/>
          <w:iCs w:val="1"/>
          <w:sz w:val="24"/>
          <w:szCs w:val="24"/>
          <w:rtl w:val="0"/>
        </w:rPr>
        <w:t xml:space="preserve">By J. M. Lindstrom</w:t>
      </w:r>
      <w:r w:rsidDel="00000000" w:rsidR="00000000" w:rsidRPr="00000000">
        <w:rPr>
          <w:rtl w:val="0"/>
        </w:rPr>
      </w:r>
    </w:p>
    <w:p w:rsidR="00000000" w:rsidDel="00000000" w:rsidP="00000000" w:rsidRDefault="00000000" w:rsidRPr="00000000" w14:paraId="0000004F">
      <w:pPr>
        <w:rPr/>
      </w:pPr>
      <w:r w:rsidDel="00000000" w:rsidR="00000000" w:rsidRPr="00000000">
        <w:rPr>
          <w:rFonts w:ascii="Times New Roman" w:cs="Times New Roman" w:eastAsia="Times New Roman" w:hAnsi="Times New Roman"/>
          <w:b w:val="0"/>
          <w:bCs w:val="0"/>
          <w:i w:val="0"/>
          <w:iCs w:val="0"/>
          <w:sz w:val="24"/>
          <w:szCs w:val="24"/>
          <w:rtl w:val="0"/>
        </w:rPr>
        <w:t xml:space="preserve">Geopolitical contests have long turned on control of strategic resources and the subtle power plays built around them. From mines in the Democratic Republic of the Congo to rare earth magnets destined for the Pacific seabed, mineral extraction has become an imperative step in the supply chain for a new metric of national power. No single nation monopolizes extraction: reserves sit in Australia, Vietnam, Brazil, Russia, and the United States alongside China</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1</w:t>
      </w:r>
      <w:r w:rsidDel="00000000" w:rsidR="00000000" w:rsidRPr="00000000">
        <w:rPr>
          <w:rFonts w:ascii="Times New Roman" w:cs="Times New Roman" w:eastAsia="Times New Roman" w:hAnsi="Times New Roman"/>
          <w:b w:val="0"/>
          <w:bCs w:val="0"/>
          <w:i w:val="0"/>
          <w:iCs w:val="0"/>
          <w:sz w:val="24"/>
          <w:szCs w:val="24"/>
          <w:rtl w:val="0"/>
        </w:rPr>
        <w:t xml:space="preserve">, and Washington's own stockpile accounting now tracks this dispersion directly</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2</w:t>
      </w:r>
      <w:r w:rsidDel="00000000" w:rsidR="00000000" w:rsidRPr="00000000">
        <w:rPr>
          <w:rFonts w:ascii="Times New Roman" w:cs="Times New Roman" w:eastAsia="Times New Roman" w:hAnsi="Times New Roman"/>
          <w:b w:val="0"/>
          <w:bCs w:val="0"/>
          <w:i w:val="0"/>
          <w:iCs w:val="0"/>
          <w:sz w:val="24"/>
          <w:szCs w:val="24"/>
          <w:rtl w:val="0"/>
        </w:rPr>
        <w:t xml:space="preserve">. What is concentrated is the next link in the chain: separation and refining, where China accounts for roughly 90 percent of global capacity</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3</w:t>
      </w:r>
      <w:r w:rsidDel="00000000" w:rsidR="00000000" w:rsidRPr="00000000">
        <w:rPr>
          <w:rFonts w:ascii="Times New Roman" w:cs="Times New Roman" w:eastAsia="Times New Roman" w:hAnsi="Times New Roman"/>
          <w:b w:val="0"/>
          <w:bCs w:val="0"/>
          <w:i w:val="0"/>
          <w:iCs w:val="0"/>
          <w:sz w:val="24"/>
          <w:szCs w:val="24"/>
          <w:rtl w:val="0"/>
        </w:rPr>
        <w:t xml:space="preserve">, and magnet manufacturing, where its share approaches 94 percent</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4</w:t>
      </w:r>
      <w:r w:rsidDel="00000000" w:rsidR="00000000" w:rsidRPr="00000000">
        <w:rPr>
          <w:rFonts w:ascii="Times New Roman" w:cs="Times New Roman" w:eastAsia="Times New Roman" w:hAnsi="Times New Roman"/>
          <w:b w:val="0"/>
          <w:bCs w:val="0"/>
          <w:i w:val="0"/>
          <w:iCs w:val="0"/>
          <w:sz w:val="24"/>
          <w:szCs w:val="24"/>
          <w:rtl w:val="0"/>
        </w:rPr>
        <w:t xml:space="preserve">. This dominance in processing, not in raw deposits, is what has driven the EU and the United States to chase refining capacity of their own. But a closer look up the supply chain reveals the deeper problem: once refined minerals are secured, leverage simply shifts to the next chokepoint, critical components.</w:t>
      </w:r>
      <w:r w:rsidDel="00000000" w:rsidR="00000000" w:rsidRPr="00000000">
        <w:rPr>
          <w:rtl w:val="0"/>
        </w:rPr>
      </w:r>
    </w:p>
    <w:p w:rsidR="00000000" w:rsidDel="00000000" w:rsidP="00000000" w:rsidRDefault="00000000" w:rsidRPr="00000000" w14:paraId="00000050">
      <w:pPr>
        <w:rPr/>
      </w:pPr>
      <w:r w:rsidDel="00000000" w:rsidR="00000000" w:rsidRPr="00000000">
        <w:rPr>
          <w:rFonts w:ascii="Times New Roman" w:cs="Times New Roman" w:eastAsia="Times New Roman" w:hAnsi="Times New Roman"/>
          <w:b w:val="0"/>
          <w:bCs w:val="0"/>
          <w:i w:val="0"/>
          <w:iCs w:val="0"/>
          <w:sz w:val="24"/>
          <w:szCs w:val="24"/>
          <w:rtl w:val="0"/>
        </w:rPr>
        <w:t xml:space="preserve">Geopolitics increasingly demands quantifiable metrics. Militaries and economies once filled that role; as the world has grown more economically entangled, critical minerals and export-control cycles have taken their place. Microchips preceded rare earth minerals as a metric of chokepoint power, paired with rare earth magnets and processing technology; the underlying pattern is that the chokepoint rises up the supply chain over time. A decade of quantitative research in Resources Policy</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5</w:t>
      </w:r>
      <w:r w:rsidDel="00000000" w:rsidR="00000000" w:rsidRPr="00000000">
        <w:rPr>
          <w:rFonts w:ascii="Times New Roman" w:cs="Times New Roman" w:eastAsia="Times New Roman" w:hAnsi="Times New Roman"/>
          <w:b w:val="0"/>
          <w:bCs w:val="0"/>
          <w:i w:val="0"/>
          <w:iCs w:val="0"/>
          <w:sz w:val="24"/>
          <w:szCs w:val="24"/>
          <w:rtl w:val="0"/>
        </w:rPr>
        <w:t xml:space="preserve"> has tried to measure exactly how much power this concentration confers. Zhang and colleagues</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6</w:t>
      </w:r>
      <w:r w:rsidDel="00000000" w:rsidR="00000000" w:rsidRPr="00000000">
        <w:rPr>
          <w:rFonts w:ascii="Times New Roman" w:cs="Times New Roman" w:eastAsia="Times New Roman" w:hAnsi="Times New Roman"/>
          <w:b w:val="0"/>
          <w:bCs w:val="0"/>
          <w:i w:val="0"/>
          <w:iCs w:val="0"/>
          <w:sz w:val="24"/>
          <w:szCs w:val="24"/>
          <w:rtl w:val="0"/>
        </w:rPr>
        <w:t xml:space="preserve"> found Chinese market power over rare earths rose sharply through the 2000s and 2010s even as Beijing's own export policies produced mixed results for its stated goals. Barteková and Kemp's regional comparison</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7</w:t>
      </w:r>
      <w:r w:rsidDel="00000000" w:rsidR="00000000" w:rsidRPr="00000000">
        <w:rPr>
          <w:rFonts w:ascii="Times New Roman" w:cs="Times New Roman" w:eastAsia="Times New Roman" w:hAnsi="Times New Roman"/>
          <w:b w:val="0"/>
          <w:bCs w:val="0"/>
          <w:i w:val="0"/>
          <w:iCs w:val="0"/>
          <w:sz w:val="24"/>
          <w:szCs w:val="24"/>
          <w:rtl w:val="0"/>
        </w:rPr>
        <w:t xml:space="preserve"> found no other bloc not the EU, not Japan, not the United States had built a comparably durable national strategy for securing supply. Massari and Ruberti's earlier survey</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8</w:t>
      </w:r>
      <w:r w:rsidDel="00000000" w:rsidR="00000000" w:rsidRPr="00000000">
        <w:rPr>
          <w:rFonts w:ascii="Times New Roman" w:cs="Times New Roman" w:eastAsia="Times New Roman" w:hAnsi="Times New Roman"/>
          <w:b w:val="0"/>
          <w:bCs w:val="0"/>
          <w:i w:val="0"/>
          <w:iCs w:val="0"/>
          <w:sz w:val="24"/>
          <w:szCs w:val="24"/>
          <w:rtl w:val="0"/>
        </w:rPr>
        <w:t xml:space="preserve"> traced how "critical" status itself became a policy category only after China's early-2010s restrictions forced the issue. More recent work has tried to model the market's actual mechanics: a dynamic partial-equilibrium model of metal markets</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9</w:t>
      </w:r>
      <w:r w:rsidDel="00000000" w:rsidR="00000000" w:rsidRPr="00000000">
        <w:rPr>
          <w:rFonts w:ascii="Times New Roman" w:cs="Times New Roman" w:eastAsia="Times New Roman" w:hAnsi="Times New Roman"/>
          <w:b w:val="0"/>
          <w:bCs w:val="0"/>
          <w:i w:val="0"/>
          <w:iCs w:val="0"/>
          <w:sz w:val="24"/>
          <w:szCs w:val="24"/>
          <w:rtl w:val="0"/>
        </w:rPr>
        <w:t xml:space="preserve"> built specifically around rare earths, a catastrophe-progression early-warning framework</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10</w:t>
      </w:r>
      <w:r w:rsidDel="00000000" w:rsidR="00000000" w:rsidRPr="00000000">
        <w:rPr>
          <w:rFonts w:ascii="Times New Roman" w:cs="Times New Roman" w:eastAsia="Times New Roman" w:hAnsi="Times New Roman"/>
          <w:b w:val="0"/>
          <w:bCs w:val="0"/>
          <w:i w:val="0"/>
          <w:iCs w:val="0"/>
          <w:sz w:val="24"/>
          <w:szCs w:val="24"/>
          <w:rtl w:val="0"/>
        </w:rPr>
        <w:t xml:space="preserve"> for supply security, and a 2023 comparative index</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11</w:t>
      </w:r>
      <w:r w:rsidDel="00000000" w:rsidR="00000000" w:rsidRPr="00000000">
        <w:rPr>
          <w:rFonts w:ascii="Times New Roman" w:cs="Times New Roman" w:eastAsia="Times New Roman" w:hAnsi="Times New Roman"/>
          <w:b w:val="0"/>
          <w:bCs w:val="0"/>
          <w:i w:val="0"/>
          <w:iCs w:val="0"/>
          <w:sz w:val="24"/>
          <w:szCs w:val="24"/>
          <w:rtl w:val="0"/>
        </w:rPr>
        <w:t xml:space="preserve"> ranking China, Australia, Russia, and India on rare earth competitiveness, which still placed China well ahead on every measured dimension but raw reserve share.</w:t>
      </w:r>
      <w:r w:rsidDel="00000000" w:rsidR="00000000" w:rsidRPr="00000000">
        <w:rPr>
          <w:rtl w:val="0"/>
        </w:rPr>
      </w:r>
    </w:p>
    <w:p w:rsidR="00000000" w:rsidDel="00000000" w:rsidP="00000000" w:rsidRDefault="00000000" w:rsidRPr="00000000" w14:paraId="00000051">
      <w:pPr>
        <w:rPr/>
      </w:pPr>
      <w:r w:rsidDel="00000000" w:rsidR="00000000" w:rsidRPr="00000000">
        <w:rPr>
          <w:rFonts w:ascii="Times New Roman" w:cs="Times New Roman" w:eastAsia="Times New Roman" w:hAnsi="Times New Roman"/>
          <w:b w:val="0"/>
          <w:bCs w:val="0"/>
          <w:i w:val="0"/>
          <w:iCs w:val="0"/>
          <w:sz w:val="24"/>
          <w:szCs w:val="24"/>
          <w:rtl w:val="0"/>
        </w:rPr>
        <w:t xml:space="preserve">Minerals have served as a pressure point on the world economy, one felt more acutely by technology-intensive Western economies than by most of the developing world, the Asian Tigers being a notable exception. Deng Xiaoping is widely quoted as telling aides touring Baotou in January 1992 that "the Middle East has oil, China has rare earths," a line China watchers have repeated ever since</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12</w:t>
      </w:r>
      <w:r w:rsidDel="00000000" w:rsidR="00000000" w:rsidRPr="00000000">
        <w:rPr>
          <w:rFonts w:ascii="Times New Roman" w:cs="Times New Roman" w:eastAsia="Times New Roman" w:hAnsi="Times New Roman"/>
          <w:b w:val="0"/>
          <w:bCs w:val="0"/>
          <w:i w:val="0"/>
          <w:iCs w:val="0"/>
          <w:sz w:val="24"/>
          <w:szCs w:val="24"/>
          <w:rtl w:val="0"/>
        </w:rPr>
        <w:t xml:space="preserve"> as evidence Beijing always intended to weaponize the resource. That reading is contested: the quote appears to have entered Western reporting only in 2009</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13</w:t>
      </w:r>
      <w:r w:rsidDel="00000000" w:rsidR="00000000" w:rsidRPr="00000000">
        <w:rPr>
          <w:rFonts w:ascii="Times New Roman" w:cs="Times New Roman" w:eastAsia="Times New Roman" w:hAnsi="Times New Roman"/>
          <w:b w:val="0"/>
          <w:bCs w:val="0"/>
          <w:i w:val="0"/>
          <w:iCs w:val="0"/>
          <w:sz w:val="24"/>
          <w:szCs w:val="24"/>
          <w:rtl w:val="0"/>
        </w:rPr>
        <w:t xml:space="preserve">, and at least one scholar who traced contemporaneous Chinese sources argues the original remark was about something closer to the opposite point. Wübbeke's policy history</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14</w:t>
      </w:r>
      <w:r w:rsidDel="00000000" w:rsidR="00000000" w:rsidRPr="00000000">
        <w:rPr>
          <w:rFonts w:ascii="Times New Roman" w:cs="Times New Roman" w:eastAsia="Times New Roman" w:hAnsi="Times New Roman"/>
          <w:b w:val="0"/>
          <w:bCs w:val="0"/>
          <w:i w:val="0"/>
          <w:iCs w:val="0"/>
          <w:sz w:val="24"/>
          <w:szCs w:val="24"/>
          <w:rtl w:val="0"/>
        </w:rPr>
        <w:t xml:space="preserve"> of China's rare earth industry likewise complicates the simple weaponization story, attributing Beijing's restrictions mainly to domestic environmental and resource-conservation politics rather than grand strategy. Whatever Deng meant in 1992, Beijing's subsequent conduct has been unambiguous: China curtailed rare earth exports to Japan for roughly two months in 2010</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15</w:t>
      </w:r>
      <w:r w:rsidDel="00000000" w:rsidR="00000000" w:rsidRPr="00000000">
        <w:rPr>
          <w:rFonts w:ascii="Times New Roman" w:cs="Times New Roman" w:eastAsia="Times New Roman" w:hAnsi="Times New Roman"/>
          <w:b w:val="0"/>
          <w:bCs w:val="0"/>
          <w:i w:val="0"/>
          <w:iCs w:val="0"/>
          <w:sz w:val="24"/>
          <w:szCs w:val="24"/>
          <w:rtl w:val="0"/>
        </w:rPr>
        <w:t xml:space="preserve"> amid a dispute over a fishing-boat captain near the Senkaku/Diaoyu Islands. Western powers hold substantial raw ore reserves but lack the processing capacity to convert them into usable material, a chokepoint in which much of the remainder outside China, including Indonesian nickel processing, is itself owned by Chinese firms operating abroad</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16</w:t>
      </w:r>
      <w:r w:rsidDel="00000000" w:rsidR="00000000" w:rsidRPr="00000000">
        <w:rPr>
          <w:rFonts w:ascii="Times New Roman" w:cs="Times New Roman" w:eastAsia="Times New Roman" w:hAnsi="Times New Roman"/>
          <w:b w:val="0"/>
          <w:bCs w:val="0"/>
          <w:i w:val="0"/>
          <w:iCs w:val="0"/>
          <w:sz w:val="24"/>
          <w:szCs w:val="24"/>
          <w:rtl w:val="0"/>
        </w:rPr>
        <w:t xml:space="preserve">, according to the IEA's regional accounting. That this concentration has since hardened into deliberate state policy is visible in Beijing's August 2025 shift to centralized, traceable state control</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17</w:t>
      </w:r>
      <w:r w:rsidDel="00000000" w:rsidR="00000000" w:rsidRPr="00000000">
        <w:rPr>
          <w:rFonts w:ascii="Times New Roman" w:cs="Times New Roman" w:eastAsia="Times New Roman" w:hAnsi="Times New Roman"/>
          <w:b w:val="0"/>
          <w:bCs w:val="0"/>
          <w:i w:val="0"/>
          <w:iCs w:val="0"/>
          <w:sz w:val="24"/>
          <w:szCs w:val="24"/>
          <w:rtl w:val="0"/>
        </w:rPr>
        <w:t xml:space="preserve"> over rare earth mining and smelting.</w:t>
      </w:r>
      <w:r w:rsidDel="00000000" w:rsidR="00000000" w:rsidRPr="00000000">
        <w:rPr>
          <w:rtl w:val="0"/>
        </w:rPr>
      </w:r>
    </w:p>
    <w:p w:rsidR="00000000" w:rsidDel="00000000" w:rsidP="00000000" w:rsidRDefault="00000000" w:rsidRPr="00000000" w14:paraId="00000052">
      <w:pPr>
        <w:rPr/>
      </w:pPr>
      <w:r w:rsidDel="00000000" w:rsidR="00000000" w:rsidRPr="00000000">
        <w:rPr>
          <w:rFonts w:ascii="Times New Roman" w:cs="Times New Roman" w:eastAsia="Times New Roman" w:hAnsi="Times New Roman"/>
          <w:b w:val="0"/>
          <w:bCs w:val="0"/>
          <w:i w:val="0"/>
          <w:iCs w:val="0"/>
          <w:sz w:val="24"/>
          <w:szCs w:val="24"/>
          <w:rtl w:val="0"/>
        </w:rPr>
        <w:t xml:space="preserve">The current fight over rare earths is not the first. When China first tightened export quotas in 2010, the EU, the United States, and Japan took the case to the World Trade Organization; a WTO panel ruled against Beijing in 2014</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18</w:t>
      </w:r>
      <w:r w:rsidDel="00000000" w:rsidR="00000000" w:rsidRPr="00000000">
        <w:rPr>
          <w:rFonts w:ascii="Times New Roman" w:cs="Times New Roman" w:eastAsia="Times New Roman" w:hAnsi="Times New Roman"/>
          <w:b w:val="0"/>
          <w:bCs w:val="0"/>
          <w:i w:val="0"/>
          <w:iCs w:val="0"/>
          <w:sz w:val="24"/>
          <w:szCs w:val="24"/>
          <w:rtl w:val="0"/>
        </w:rPr>
        <w:t xml:space="preserve">, finding the quotas violated China's accession commitments. Legal scholarship on the case</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19</w:t>
      </w:r>
      <w:r w:rsidDel="00000000" w:rsidR="00000000" w:rsidRPr="00000000">
        <w:rPr>
          <w:rFonts w:ascii="Times New Roman" w:cs="Times New Roman" w:eastAsia="Times New Roman" w:hAnsi="Times New Roman"/>
          <w:b w:val="0"/>
          <w:bCs w:val="0"/>
          <w:i w:val="0"/>
          <w:iCs w:val="0"/>
          <w:sz w:val="24"/>
          <w:szCs w:val="24"/>
          <w:rtl w:val="0"/>
        </w:rPr>
        <w:t xml:space="preserve"> argued the ruling exposed a real gap in WTO law: export restraints on raw materials were treated far more leniently than import barriers, even though both distort trade. That asymmetry is part of why Beijing's current approach targets technology and downstream products rather than raw ore directly, a structure the OECD's own trade-policy research on export restrictions</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20</w:t>
      </w:r>
      <w:r w:rsidDel="00000000" w:rsidR="00000000" w:rsidRPr="00000000">
        <w:rPr>
          <w:rFonts w:ascii="Times New Roman" w:cs="Times New Roman" w:eastAsia="Times New Roman" w:hAnsi="Times New Roman"/>
          <w:b w:val="0"/>
          <w:bCs w:val="0"/>
          <w:i w:val="0"/>
          <w:iCs w:val="0"/>
          <w:sz w:val="24"/>
          <w:szCs w:val="24"/>
          <w:rtl w:val="0"/>
        </w:rPr>
        <w:t xml:space="preserve"> and its later inventory of restrictive measures worldwide</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21</w:t>
      </w:r>
      <w:r w:rsidDel="00000000" w:rsidR="00000000" w:rsidRPr="00000000">
        <w:rPr>
          <w:rFonts w:ascii="Times New Roman" w:cs="Times New Roman" w:eastAsia="Times New Roman" w:hAnsi="Times New Roman"/>
          <w:b w:val="0"/>
          <w:bCs w:val="0"/>
          <w:i w:val="0"/>
          <w:iCs w:val="0"/>
          <w:sz w:val="24"/>
          <w:szCs w:val="24"/>
          <w:rtl w:val="0"/>
        </w:rPr>
        <w:t xml:space="preserve"> flagged as a structural loophole years before this cycle began. The WTO's own economists have separately modeled how such trade restrictions distort global welfare</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22</w:t>
      </w:r>
      <w:r w:rsidDel="00000000" w:rsidR="00000000" w:rsidRPr="00000000">
        <w:rPr>
          <w:rFonts w:ascii="Times New Roman" w:cs="Times New Roman" w:eastAsia="Times New Roman" w:hAnsi="Times New Roman"/>
          <w:b w:val="0"/>
          <w:bCs w:val="0"/>
          <w:i w:val="0"/>
          <w:iCs w:val="0"/>
          <w:sz w:val="24"/>
          <w:szCs w:val="24"/>
          <w:rtl w:val="0"/>
        </w:rPr>
        <w:t xml:space="preserve"> more broadly, a framework that applies just as well to today's foreign direct product rule as it did to 2010's quotas.</w:t>
      </w:r>
      <w:r w:rsidDel="00000000" w:rsidR="00000000" w:rsidRPr="00000000">
        <w:rPr>
          <w:rtl w:val="0"/>
        </w:rPr>
      </w:r>
    </w:p>
    <w:p w:rsidR="00000000" w:rsidDel="00000000" w:rsidP="00000000" w:rsidRDefault="00000000" w:rsidRPr="00000000" w14:paraId="00000053">
      <w:pPr>
        <w:rPr/>
      </w:pPr>
      <w:r w:rsidDel="00000000" w:rsidR="00000000" w:rsidRPr="00000000">
        <w:rPr>
          <w:rFonts w:ascii="Times New Roman" w:cs="Times New Roman" w:eastAsia="Times New Roman" w:hAnsi="Times New Roman"/>
          <w:b w:val="0"/>
          <w:bCs w:val="0"/>
          <w:i w:val="0"/>
          <w:iCs w:val="0"/>
          <w:sz w:val="24"/>
          <w:szCs w:val="24"/>
          <w:rtl w:val="0"/>
        </w:rPr>
        <w:t xml:space="preserve">China's late-2023 and 2024 controls targeted not ore exports but processing technology, a dynamic mirrored in the competition between the United States, Taiwan, and China over microchips. CSIS's timeline of the escalation</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23</w:t>
      </w:r>
      <w:r w:rsidDel="00000000" w:rsidR="00000000" w:rsidRPr="00000000">
        <w:rPr>
          <w:rFonts w:ascii="Times New Roman" w:cs="Times New Roman" w:eastAsia="Times New Roman" w:hAnsi="Times New Roman"/>
          <w:b w:val="0"/>
          <w:bCs w:val="0"/>
          <w:i w:val="0"/>
          <w:iCs w:val="0"/>
          <w:sz w:val="24"/>
          <w:szCs w:val="24"/>
          <w:rtl w:val="0"/>
        </w:rPr>
        <w:t xml:space="preserve"> runs from October 2022 chip controls through the July 2023 gallium and germanium licensing regime; export volumes of both metals collapsed within months</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24</w:t>
      </w:r>
      <w:r w:rsidDel="00000000" w:rsidR="00000000" w:rsidRPr="00000000">
        <w:rPr>
          <w:rFonts w:ascii="Times New Roman" w:cs="Times New Roman" w:eastAsia="Times New Roman" w:hAnsi="Times New Roman"/>
          <w:b w:val="0"/>
          <w:bCs w:val="0"/>
          <w:i w:val="0"/>
          <w:iCs w:val="0"/>
          <w:sz w:val="24"/>
          <w:szCs w:val="24"/>
          <w:rtl w:val="0"/>
        </w:rPr>
        <w:t xml:space="preserve"> of that first round, according to USITC trade data. Antimony followed in 2024, and rare earth processing technology and the elements themselves followed in 2025, the latter accompanied by an explicit foreign direct product rule and a 0.1 percent de minimis threshold</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25</w:t>
      </w:r>
      <w:r w:rsidDel="00000000" w:rsidR="00000000" w:rsidRPr="00000000">
        <w:rPr>
          <w:rFonts w:ascii="Times New Roman" w:cs="Times New Roman" w:eastAsia="Times New Roman" w:hAnsi="Times New Roman"/>
          <w:b w:val="0"/>
          <w:bCs w:val="0"/>
          <w:i w:val="0"/>
          <w:iCs w:val="0"/>
          <w:sz w:val="24"/>
          <w:szCs w:val="24"/>
          <w:rtl w:val="0"/>
        </w:rPr>
        <w:t xml:space="preserve"> reaching into products manufactured outside China. One independent timeline of the full three-year sequence describes it as a controlled climb up the value chain</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26</w:t>
      </w:r>
      <w:r w:rsidDel="00000000" w:rsidR="00000000" w:rsidRPr="00000000">
        <w:rPr>
          <w:rFonts w:ascii="Times New Roman" w:cs="Times New Roman" w:eastAsia="Times New Roman" w:hAnsi="Times New Roman"/>
          <w:b w:val="0"/>
          <w:bCs w:val="0"/>
          <w:i w:val="0"/>
          <w:iCs w:val="0"/>
          <w:sz w:val="24"/>
          <w:szCs w:val="24"/>
          <w:rtl w:val="0"/>
        </w:rPr>
        <w:t xml:space="preserve"> rather than a single embargo. Analysts at CSIS have called the October 2025 measures the first Chinese application of foreign direct product rule logic to defense-relevant supply chains specifically</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27</w:t>
      </w:r>
      <w:r w:rsidDel="00000000" w:rsidR="00000000" w:rsidRPr="00000000">
        <w:rPr>
          <w:rFonts w:ascii="Times New Roman" w:cs="Times New Roman" w:eastAsia="Times New Roman" w:hAnsi="Times New Roman"/>
          <w:b w:val="0"/>
          <w:bCs w:val="0"/>
          <w:i w:val="0"/>
          <w:iCs w:val="0"/>
          <w:sz w:val="24"/>
          <w:szCs w:val="24"/>
          <w:rtl w:val="0"/>
        </w:rPr>
        <w:t xml:space="preserve">, while MERICS's running series on the controls</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28</w:t>
      </w:r>
      <w:r w:rsidDel="00000000" w:rsidR="00000000" w:rsidRPr="00000000">
        <w:rPr>
          <w:rFonts w:ascii="Times New Roman" w:cs="Times New Roman" w:eastAsia="Times New Roman" w:hAnsi="Times New Roman"/>
          <w:b w:val="0"/>
          <w:bCs w:val="0"/>
          <w:i w:val="0"/>
          <w:iCs w:val="0"/>
          <w:sz w:val="24"/>
          <w:szCs w:val="24"/>
          <w:rtl w:val="0"/>
        </w:rPr>
        <w:t xml:space="preserve"> tracks the same measures from the Chinese-industrial-policy side rather than the trade-law side. Those October 2025 measures, MOFCOM Notices 61 and 62, were set to take effect December 1, 2025, but Beijing suspended their implementation for one year on October 30, 2025</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29</w:t>
      </w:r>
      <w:r w:rsidDel="00000000" w:rsidR="00000000" w:rsidRPr="00000000">
        <w:rPr>
          <w:rFonts w:ascii="Times New Roman" w:cs="Times New Roman" w:eastAsia="Times New Roman" w:hAnsi="Times New Roman"/>
          <w:b w:val="0"/>
          <w:bCs w:val="0"/>
          <w:i w:val="0"/>
          <w:iCs w:val="0"/>
          <w:sz w:val="24"/>
          <w:szCs w:val="24"/>
          <w:rtl w:val="0"/>
        </w:rPr>
        <w:t xml:space="preserve">, as part of a broader trade truce with Washington. FDD's assessment of the pause cautioned that suspension is not repeal</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30</w:t>
      </w:r>
      <w:r w:rsidDel="00000000" w:rsidR="00000000" w:rsidRPr="00000000">
        <w:rPr>
          <w:rFonts w:ascii="Times New Roman" w:cs="Times New Roman" w:eastAsia="Times New Roman" w:hAnsi="Times New Roman"/>
          <w:b w:val="0"/>
          <w:bCs w:val="0"/>
          <w:i w:val="0"/>
          <w:iCs w:val="0"/>
          <w:sz w:val="24"/>
          <w:szCs w:val="24"/>
          <w:rtl w:val="0"/>
        </w:rPr>
        <w:t xml:space="preserve">; Beijing retains the legal architecture and the option to reactivate it on short notice, a reading Resources for the Future's own analysis of the pause shares, arguing Beijing likely prefers reversible leverage</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31</w:t>
      </w:r>
      <w:r w:rsidDel="00000000" w:rsidR="00000000" w:rsidRPr="00000000">
        <w:rPr>
          <w:rFonts w:ascii="Times New Roman" w:cs="Times New Roman" w:eastAsia="Times New Roman" w:hAnsi="Times New Roman"/>
          <w:b w:val="0"/>
          <w:bCs w:val="0"/>
          <w:i w:val="0"/>
          <w:iCs w:val="0"/>
          <w:sz w:val="24"/>
          <w:szCs w:val="24"/>
          <w:rtl w:val="0"/>
        </w:rPr>
        <w:t xml:space="preserve"> to a permanent embargo. The U.S.-China Economic and Security Review Commission's own scenario modeling of a full chokepoint-stacking event</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32</w:t>
      </w:r>
      <w:r w:rsidDel="00000000" w:rsidR="00000000" w:rsidRPr="00000000">
        <w:rPr>
          <w:rFonts w:ascii="Times New Roman" w:cs="Times New Roman" w:eastAsia="Times New Roman" w:hAnsi="Times New Roman"/>
          <w:b w:val="0"/>
          <w:bCs w:val="0"/>
          <w:i w:val="0"/>
          <w:iCs w:val="0"/>
          <w:sz w:val="24"/>
          <w:szCs w:val="24"/>
          <w:rtl w:val="0"/>
        </w:rPr>
        <w:t xml:space="preserve"> treats exactly this kind of reversible-but-real leverage as the central risk facing the defense industrial base.</w:t>
      </w:r>
      <w:r w:rsidDel="00000000" w:rsidR="00000000" w:rsidRPr="00000000">
        <w:rPr>
          <w:rtl w:val="0"/>
        </w:rPr>
      </w:r>
    </w:p>
    <w:p w:rsidR="00000000" w:rsidDel="00000000" w:rsidP="00000000" w:rsidRDefault="00000000" w:rsidRPr="00000000" w14:paraId="00000054">
      <w:pPr>
        <w:rPr/>
      </w:pPr>
      <w:r w:rsidDel="00000000" w:rsidR="00000000" w:rsidRPr="00000000">
        <w:rPr>
          <w:rFonts w:ascii="Times New Roman" w:cs="Times New Roman" w:eastAsia="Times New Roman" w:hAnsi="Times New Roman"/>
          <w:b w:val="0"/>
          <w:bCs w:val="0"/>
          <w:i w:val="0"/>
          <w:iCs w:val="0"/>
          <w:sz w:val="24"/>
          <w:szCs w:val="24"/>
          <w:rtl w:val="0"/>
        </w:rPr>
        <w:t xml:space="preserve">The newest and largest source of demand for rare-earth-dependent components is AI compute and data center infrastructure motors for cooling systems, advanced semiconductor nodes, and rare-earth-adjacent materials in high-bandwidth memory and chip packaging. FP Analytics has traced direct linkages between gallium, germanium, tungsten, and magnesium and specific AI hardware bottlenecks</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33</w:t>
      </w:r>
      <w:r w:rsidDel="00000000" w:rsidR="00000000" w:rsidRPr="00000000">
        <w:rPr>
          <w:rFonts w:ascii="Times New Roman" w:cs="Times New Roman" w:eastAsia="Times New Roman" w:hAnsi="Times New Roman"/>
          <w:b w:val="0"/>
          <w:bCs w:val="0"/>
          <w:i w:val="0"/>
          <w:iCs w:val="0"/>
          <w:sz w:val="24"/>
          <w:szCs w:val="24"/>
          <w:rtl w:val="0"/>
        </w:rPr>
        <w:t xml:space="preserve">, while CSET's foundational mapping of the chip value chain</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34</w:t>
      </w:r>
      <w:r w:rsidDel="00000000" w:rsidR="00000000" w:rsidRPr="00000000">
        <w:rPr>
          <w:rFonts w:ascii="Times New Roman" w:cs="Times New Roman" w:eastAsia="Times New Roman" w:hAnsi="Times New Roman"/>
          <w:b w:val="0"/>
          <w:bCs w:val="0"/>
          <w:i w:val="0"/>
          <w:iCs w:val="0"/>
          <w:sz w:val="24"/>
          <w:szCs w:val="24"/>
          <w:rtl w:val="0"/>
        </w:rPr>
        <w:t xml:space="preserve"> shows those bottlenecks are not new, only newly urgent. CSET's separate primer on why AI chips are a distinct, largely non-substitutable category</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35</w:t>
      </w:r>
      <w:r w:rsidDel="00000000" w:rsidR="00000000" w:rsidRPr="00000000">
        <w:rPr>
          <w:rFonts w:ascii="Times New Roman" w:cs="Times New Roman" w:eastAsia="Times New Roman" w:hAnsi="Times New Roman"/>
          <w:b w:val="0"/>
          <w:bCs w:val="0"/>
          <w:i w:val="0"/>
          <w:iCs w:val="0"/>
          <w:sz w:val="24"/>
          <w:szCs w:val="24"/>
          <w:rtl w:val="0"/>
        </w:rPr>
        <w:t xml:space="preserve"> helps explain why the component stage, not the mineral stage, increasingly carries the leverage; its 2023 policy brief on securing semiconductor supply chains</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36</w:t>
      </w:r>
      <w:r w:rsidDel="00000000" w:rsidR="00000000" w:rsidRPr="00000000">
        <w:rPr>
          <w:rFonts w:ascii="Times New Roman" w:cs="Times New Roman" w:eastAsia="Times New Roman" w:hAnsi="Times New Roman"/>
          <w:b w:val="0"/>
          <w:bCs w:val="0"/>
          <w:i w:val="0"/>
          <w:iCs w:val="0"/>
          <w:sz w:val="24"/>
          <w:szCs w:val="24"/>
          <w:rtl w:val="0"/>
        </w:rPr>
        <w:t xml:space="preserve"> proposed a protect-and-promote framework for exactly this kind of allied chokepoint defense. In practical terms, a data center's procurement list does not read "germanium," but "high-speed transceivers," a component made of it. China's Digital Silk Road strategy reinforces this pattern: Beijing has worked to close the supply chain on both ends, processing upstream and downstream AI infrastructure alike. A peer-reviewed chapter from the Hungarian Institute of International Affairs</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37</w:t>
      </w:r>
      <w:r w:rsidDel="00000000" w:rsidR="00000000" w:rsidRPr="00000000">
        <w:rPr>
          <w:rFonts w:ascii="Times New Roman" w:cs="Times New Roman" w:eastAsia="Times New Roman" w:hAnsi="Times New Roman"/>
          <w:b w:val="0"/>
          <w:bCs w:val="0"/>
          <w:i w:val="0"/>
          <w:iCs w:val="0"/>
          <w:sz w:val="24"/>
          <w:szCs w:val="24"/>
          <w:rtl w:val="0"/>
        </w:rPr>
        <w:t xml:space="preserve"> maps this data-center-and-cable strategy in detail, and a 2025 study in the Advanced Social Science Archive Journal</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38</w:t>
      </w:r>
      <w:r w:rsidDel="00000000" w:rsidR="00000000" w:rsidRPr="00000000">
        <w:rPr>
          <w:rFonts w:ascii="Times New Roman" w:cs="Times New Roman" w:eastAsia="Times New Roman" w:hAnsi="Times New Roman"/>
          <w:b w:val="0"/>
          <w:bCs w:val="0"/>
          <w:i w:val="0"/>
          <w:iCs w:val="0"/>
          <w:sz w:val="24"/>
          <w:szCs w:val="24"/>
          <w:rtl w:val="0"/>
        </w:rPr>
        <w:t xml:space="preserve"> extends the same architecture across South, Southeast, and Central Asia. Separate research has documented comparable patterns in Africa</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39</w:t>
      </w:r>
      <w:r w:rsidDel="00000000" w:rsidR="00000000" w:rsidRPr="00000000">
        <w:rPr>
          <w:rFonts w:ascii="Times New Roman" w:cs="Times New Roman" w:eastAsia="Times New Roman" w:hAnsi="Times New Roman"/>
          <w:b w:val="0"/>
          <w:bCs w:val="0"/>
          <w:i w:val="0"/>
          <w:iCs w:val="0"/>
          <w:sz w:val="24"/>
          <w:szCs w:val="24"/>
          <w:rtl w:val="0"/>
        </w:rPr>
        <w:t xml:space="preserve"> and, further afield, case studies in Brazil and South Africa</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40</w:t>
      </w:r>
      <w:r w:rsidDel="00000000" w:rsidR="00000000" w:rsidRPr="00000000">
        <w:rPr>
          <w:rFonts w:ascii="Times New Roman" w:cs="Times New Roman" w:eastAsia="Times New Roman" w:hAnsi="Times New Roman"/>
          <w:b w:val="0"/>
          <w:bCs w:val="0"/>
          <w:i w:val="0"/>
          <w:iCs w:val="0"/>
          <w:sz w:val="24"/>
          <w:szCs w:val="24"/>
          <w:rtl w:val="0"/>
        </w:rPr>
        <w:t xml:space="preserve">, where the DSR functions simultaneously as a development mechanism and a strategic-risk instrument. The Council on Foreign Relations' own case study of the AAE-1 submarine cable route through Southeast Asia</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41</w:t>
      </w:r>
      <w:r w:rsidDel="00000000" w:rsidR="00000000" w:rsidRPr="00000000">
        <w:rPr>
          <w:rFonts w:ascii="Times New Roman" w:cs="Times New Roman" w:eastAsia="Times New Roman" w:hAnsi="Times New Roman"/>
          <w:b w:val="0"/>
          <w:bCs w:val="0"/>
          <w:i w:val="0"/>
          <w:iCs w:val="0"/>
          <w:sz w:val="24"/>
          <w:szCs w:val="24"/>
          <w:rtl w:val="0"/>
        </w:rPr>
        <w:t xml:space="preserve"> shows the same pattern at the infrastructure level, though the extent to which any of this reflects coordinated strategy versus convergent opportunism remains genuinely contested among specialists. China's approach blends civilian and military applications of this infrastructure, and its 14th Five-Year Plan's dual circulation doctrine</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42</w:t>
      </w:r>
      <w:r w:rsidDel="00000000" w:rsidR="00000000" w:rsidRPr="00000000">
        <w:rPr>
          <w:rFonts w:ascii="Times New Roman" w:cs="Times New Roman" w:eastAsia="Times New Roman" w:hAnsi="Times New Roman"/>
          <w:b w:val="0"/>
          <w:bCs w:val="0"/>
          <w:i w:val="0"/>
          <w:iCs w:val="0"/>
          <w:sz w:val="24"/>
          <w:szCs w:val="24"/>
          <w:rtl w:val="0"/>
        </w:rPr>
        <w:t xml:space="preserve"> further insulates a secondary domestic flow of rare earth minerals and components from the effects of any export restriction Beijing might itself impose.</w:t>
      </w:r>
      <w:r w:rsidDel="00000000" w:rsidR="00000000" w:rsidRPr="00000000">
        <w:rPr>
          <w:rtl w:val="0"/>
        </w:rPr>
      </w:r>
    </w:p>
    <w:p w:rsidR="00000000" w:rsidDel="00000000" w:rsidP="00000000" w:rsidRDefault="00000000" w:rsidRPr="00000000" w14:paraId="00000055">
      <w:pPr>
        <w:rPr/>
      </w:pPr>
      <w:r w:rsidDel="00000000" w:rsidR="00000000" w:rsidRPr="00000000">
        <w:rPr>
          <w:rFonts w:ascii="Times New Roman" w:cs="Times New Roman" w:eastAsia="Times New Roman" w:hAnsi="Times New Roman"/>
          <w:b w:val="0"/>
          <w:bCs w:val="0"/>
          <w:i w:val="0"/>
          <w:iCs w:val="0"/>
          <w:sz w:val="24"/>
          <w:szCs w:val="24"/>
          <w:rtl w:val="0"/>
        </w:rPr>
        <w:t xml:space="preserve">This leverage is not evenly distributed; it concentrates on specific regions. Myanmar has emerged as an unlikely but critical node: China's own supply of heavy rare earths increasingly comes from ionic clay mining in Kachin State</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43</w:t>
      </w:r>
      <w:r w:rsidDel="00000000" w:rsidR="00000000" w:rsidRPr="00000000">
        <w:rPr>
          <w:rFonts w:ascii="Times New Roman" w:cs="Times New Roman" w:eastAsia="Times New Roman" w:hAnsi="Times New Roman"/>
          <w:b w:val="0"/>
          <w:bCs w:val="0"/>
          <w:i w:val="0"/>
          <w:iCs w:val="0"/>
          <w:sz w:val="24"/>
          <w:szCs w:val="24"/>
          <w:rtl w:val="0"/>
        </w:rPr>
        <w:t xml:space="preserve">, territory the Myanmar government does not fully control. The extraction method itself is not new; the same ionic clay techniques were pioneered domestically in southern China</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44</w:t>
      </w:r>
      <w:r w:rsidDel="00000000" w:rsidR="00000000" w:rsidRPr="00000000">
        <w:rPr>
          <w:rFonts w:ascii="Times New Roman" w:cs="Times New Roman" w:eastAsia="Times New Roman" w:hAnsi="Times New Roman"/>
          <w:b w:val="0"/>
          <w:bCs w:val="0"/>
          <w:i w:val="0"/>
          <w:iCs w:val="0"/>
          <w:sz w:val="24"/>
          <w:szCs w:val="24"/>
          <w:rtl w:val="0"/>
        </w:rPr>
        <w:t xml:space="preserve"> before spreading across the border as Chinese regulators tightened rules at home. Myanmar accounted for roughly 57 percent</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45</w:t>
      </w:r>
      <w:r w:rsidDel="00000000" w:rsidR="00000000" w:rsidRPr="00000000">
        <w:rPr>
          <w:rFonts w:ascii="Times New Roman" w:cs="Times New Roman" w:eastAsia="Times New Roman" w:hAnsi="Times New Roman"/>
          <w:b w:val="0"/>
          <w:bCs w:val="0"/>
          <w:i w:val="0"/>
          <w:iCs w:val="0"/>
          <w:sz w:val="24"/>
          <w:szCs w:val="24"/>
          <w:rtl w:val="0"/>
        </w:rPr>
        <w:t xml:space="preserve"> of China's rare earth imports as of mid-2025, and the Kachin Independence Army's 2024 seizure of mining sites responsible for about half of world heavy rare earth production triggered price spikes that exposed how much of Beijing's own supply chain runs through territory it does not control. Satellite-imagery documentation of the extraction footprint from 2010 to 2025</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46</w:t>
      </w:r>
      <w:r w:rsidDel="00000000" w:rsidR="00000000" w:rsidRPr="00000000">
        <w:rPr>
          <w:rFonts w:ascii="Times New Roman" w:cs="Times New Roman" w:eastAsia="Times New Roman" w:hAnsi="Times New Roman"/>
          <w:b w:val="0"/>
          <w:bCs w:val="0"/>
          <w:i w:val="0"/>
          <w:iCs w:val="0"/>
          <w:sz w:val="24"/>
          <w:szCs w:val="24"/>
          <w:rtl w:val="0"/>
        </w:rPr>
        <w:t xml:space="preserve">, compiled by USGS, shows the scale of that dependency in physical terms. Not everyone reads this as Chinese vulnerability, though: East Asia Forum has argued Myanmar's leverage is overstated</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47</w:t>
      </w:r>
      <w:r w:rsidDel="00000000" w:rsidR="00000000" w:rsidRPr="00000000">
        <w:rPr>
          <w:rFonts w:ascii="Times New Roman" w:cs="Times New Roman" w:eastAsia="Times New Roman" w:hAnsi="Times New Roman"/>
          <w:b w:val="0"/>
          <w:bCs w:val="0"/>
          <w:i w:val="0"/>
          <w:iCs w:val="0"/>
          <w:sz w:val="24"/>
          <w:szCs w:val="24"/>
          <w:rtl w:val="0"/>
        </w:rPr>
        <w:t xml:space="preserve"> relative to China's continued command of refining, since ore without a buyer willing to process it is worth little. The broader pattern nonetheless holds: extraction in states with weak governance capacity, refining concentrated in China, and downstream digital infrastructure built by Chinese firms in many of the same regions that supply the upstream inputs.</w:t>
      </w:r>
      <w:r w:rsidDel="00000000" w:rsidR="00000000" w:rsidRPr="00000000">
        <w:rPr>
          <w:rtl w:val="0"/>
        </w:rPr>
      </w:r>
    </w:p>
    <w:p w:rsidR="00000000" w:rsidDel="00000000" w:rsidP="00000000" w:rsidRDefault="00000000" w:rsidRPr="00000000" w14:paraId="00000056">
      <w:pPr>
        <w:rPr/>
      </w:pPr>
      <w:r w:rsidDel="00000000" w:rsidR="00000000" w:rsidRPr="00000000">
        <w:rPr>
          <w:rFonts w:ascii="Times New Roman" w:cs="Times New Roman" w:eastAsia="Times New Roman" w:hAnsi="Times New Roman"/>
          <w:b w:val="0"/>
          <w:bCs w:val="0"/>
          <w:i w:val="0"/>
          <w:iCs w:val="0"/>
          <w:sz w:val="24"/>
          <w:szCs w:val="24"/>
          <w:rtl w:val="0"/>
        </w:rPr>
        <w:t xml:space="preserve">The argument that leverage now sits in components rather than raw minerals is not just theoretical. It is visible in the Tomahawk, JASSM, and Patriot interceptor stockpiles the United States has drawn down during its 2026 war with Iran. An independent CSIS analysis</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48</w:t>
      </w:r>
      <w:r w:rsidDel="00000000" w:rsidR="00000000" w:rsidRPr="00000000">
        <w:rPr>
          <w:rFonts w:ascii="Times New Roman" w:cs="Times New Roman" w:eastAsia="Times New Roman" w:hAnsi="Times New Roman"/>
          <w:b w:val="0"/>
          <w:bCs w:val="0"/>
          <w:i w:val="0"/>
          <w:iCs w:val="0"/>
          <w:sz w:val="24"/>
          <w:szCs w:val="24"/>
          <w:rtl w:val="0"/>
        </w:rPr>
        <w:t xml:space="preserve"> found several of these inventories will take three or more years to rebuild to pre-war levels, a bottleneck driven not by raw material scarcity but by the pace at which guidance systems, seekers, and precision-machined components can actually be manufactured. Senator Mark Kelly's May 2026 warning</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49</w:t>
      </w:r>
      <w:r w:rsidDel="00000000" w:rsidR="00000000" w:rsidRPr="00000000">
        <w:rPr>
          <w:rFonts w:ascii="Times New Roman" w:cs="Times New Roman" w:eastAsia="Times New Roman" w:hAnsi="Times New Roman"/>
          <w:b w:val="0"/>
          <w:bCs w:val="0"/>
          <w:i w:val="0"/>
          <w:iCs w:val="0"/>
          <w:sz w:val="24"/>
          <w:szCs w:val="24"/>
          <w:rtl w:val="0"/>
        </w:rPr>
        <w:t xml:space="preserve"> that some timelines could stretch into years drew public pushback from the Pentagon, underscoring how politically sensitive the component bottleneck has become. The episode is a live illustration of this piece's central claim: mineral scarcity is rarely the binding constraint anymore. Component manufacturing capacity is.</w:t>
      </w:r>
      <w:r w:rsidDel="00000000" w:rsidR="00000000" w:rsidRPr="00000000">
        <w:rPr>
          <w:rtl w:val="0"/>
        </w:rPr>
      </w:r>
    </w:p>
    <w:p w:rsidR="00000000" w:rsidDel="00000000" w:rsidP="00000000" w:rsidRDefault="00000000" w:rsidRPr="00000000" w14:paraId="00000057">
      <w:pPr>
        <w:rPr/>
      </w:pPr>
      <w:r w:rsidDel="00000000" w:rsidR="00000000" w:rsidRPr="00000000">
        <w:rPr>
          <w:rFonts w:ascii="Times New Roman" w:cs="Times New Roman" w:eastAsia="Times New Roman" w:hAnsi="Times New Roman"/>
          <w:b w:val="0"/>
          <w:bCs w:val="0"/>
          <w:i w:val="0"/>
          <w:iCs w:val="0"/>
          <w:sz w:val="24"/>
          <w:szCs w:val="24"/>
          <w:rtl w:val="0"/>
        </w:rPr>
        <w:t xml:space="preserve">The West has scrambled to respond to China's processing dominance, primarily through the Inflation Reduction Act's critical mineral provisions, the CHIPS Act, and a small number of high-profile deals. The Department of Energy's own 2023 critical materials assessment</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50</w:t>
      </w:r>
      <w:r w:rsidDel="00000000" w:rsidR="00000000" w:rsidRPr="00000000">
        <w:rPr>
          <w:rFonts w:ascii="Times New Roman" w:cs="Times New Roman" w:eastAsia="Times New Roman" w:hAnsi="Times New Roman"/>
          <w:b w:val="0"/>
          <w:bCs w:val="0"/>
          <w:i w:val="0"/>
          <w:iCs w:val="0"/>
          <w:sz w:val="24"/>
          <w:szCs w:val="24"/>
          <w:rtl w:val="0"/>
        </w:rPr>
        <w:t xml:space="preserve">, finalized that August via Federal Register notice</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51</w:t>
      </w:r>
      <w:r w:rsidDel="00000000" w:rsidR="00000000" w:rsidRPr="00000000">
        <w:rPr>
          <w:rFonts w:ascii="Times New Roman" w:cs="Times New Roman" w:eastAsia="Times New Roman" w:hAnsi="Times New Roman"/>
          <w:b w:val="0"/>
          <w:bCs w:val="0"/>
          <w:i w:val="0"/>
          <w:iCs w:val="0"/>
          <w:sz w:val="24"/>
          <w:szCs w:val="24"/>
          <w:rtl w:val="0"/>
        </w:rPr>
        <w:t xml:space="preserve">, set the baseline list Washington still works from. The most significant deal since is the Department of Defense's July 2025 partnership with MP Materials, in which the Pentagon became the company's largest shareholder through a \$400 million equity stake</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52</w:t>
      </w:r>
      <w:r w:rsidDel="00000000" w:rsidR="00000000" w:rsidRPr="00000000">
        <w:rPr>
          <w:rFonts w:ascii="Times New Roman" w:cs="Times New Roman" w:eastAsia="Times New Roman" w:hAnsi="Times New Roman"/>
          <w:b w:val="0"/>
          <w:bCs w:val="0"/>
          <w:i w:val="0"/>
          <w:iCs w:val="0"/>
          <w:sz w:val="24"/>
          <w:szCs w:val="24"/>
          <w:rtl w:val="0"/>
        </w:rPr>
        <w:t xml:space="preserve">, a structure confirmed in the company's own SEC filing</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53</w:t>
      </w:r>
      <w:r w:rsidDel="00000000" w:rsidR="00000000" w:rsidRPr="00000000">
        <w:rPr>
          <w:rFonts w:ascii="Times New Roman" w:cs="Times New Roman" w:eastAsia="Times New Roman" w:hAnsi="Times New Roman"/>
          <w:b w:val="0"/>
          <w:bCs w:val="0"/>
          <w:i w:val="0"/>
          <w:iCs w:val="0"/>
          <w:sz w:val="24"/>
          <w:szCs w:val="24"/>
          <w:rtl w:val="0"/>
        </w:rPr>
        <w:t xml:space="preserve"> and backed by a \$150 million DoD loan</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54</w:t>
      </w:r>
      <w:r w:rsidDel="00000000" w:rsidR="00000000" w:rsidRPr="00000000">
        <w:rPr>
          <w:rFonts w:ascii="Times New Roman" w:cs="Times New Roman" w:eastAsia="Times New Roman" w:hAnsi="Times New Roman"/>
          <w:b w:val="0"/>
          <w:bCs w:val="0"/>
          <w:i w:val="0"/>
          <w:iCs w:val="0"/>
          <w:sz w:val="24"/>
          <w:szCs w:val="24"/>
          <w:rtl w:val="0"/>
        </w:rPr>
        <w:t xml:space="preserve"> for processing upgrades. Independent analysis from the Payne Institute</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55</w:t>
      </w:r>
      <w:r w:rsidDel="00000000" w:rsidR="00000000" w:rsidRPr="00000000">
        <w:rPr>
          <w:rFonts w:ascii="Times New Roman" w:cs="Times New Roman" w:eastAsia="Times New Roman" w:hAnsi="Times New Roman"/>
          <w:b w:val="0"/>
          <w:bCs w:val="0"/>
          <w:i w:val="0"/>
          <w:iCs w:val="0"/>
          <w:sz w:val="24"/>
          <w:szCs w:val="24"/>
          <w:rtl w:val="0"/>
        </w:rPr>
        <w:t xml:space="preserve"> at the Colorado School of Mines notes the deal marks the first time the Pentagon has taken an equity position of this kind, a departure the Bipartisan Policy Center has called a precedent for federal industrial policy</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56</w:t>
      </w:r>
      <w:r w:rsidDel="00000000" w:rsidR="00000000" w:rsidRPr="00000000">
        <w:rPr>
          <w:rFonts w:ascii="Times New Roman" w:cs="Times New Roman" w:eastAsia="Times New Roman" w:hAnsi="Times New Roman"/>
          <w:b w:val="0"/>
          <w:bCs w:val="0"/>
          <w:i w:val="0"/>
          <w:iCs w:val="0"/>
          <w:sz w:val="24"/>
          <w:szCs w:val="24"/>
          <w:rtl w:val="0"/>
        </w:rPr>
        <w:t xml:space="preserve">, not just for minerals. Washington's other lever is the Commerce Department's Entity List: dozens of Chinese firms</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57</w:t>
      </w:r>
      <w:r w:rsidDel="00000000" w:rsidR="00000000" w:rsidRPr="00000000">
        <w:rPr>
          <w:rFonts w:ascii="Times New Roman" w:cs="Times New Roman" w:eastAsia="Times New Roman" w:hAnsi="Times New Roman"/>
          <w:b w:val="0"/>
          <w:bCs w:val="0"/>
          <w:i w:val="0"/>
          <w:iCs w:val="0"/>
          <w:sz w:val="24"/>
          <w:szCs w:val="24"/>
          <w:rtl w:val="0"/>
        </w:rPr>
        <w:t xml:space="preserve"> have been added over the past two years, including a further round</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58</w:t>
      </w:r>
      <w:r w:rsidDel="00000000" w:rsidR="00000000" w:rsidRPr="00000000">
        <w:rPr>
          <w:rFonts w:ascii="Times New Roman" w:cs="Times New Roman" w:eastAsia="Times New Roman" w:hAnsi="Times New Roman"/>
          <w:b w:val="0"/>
          <w:bCs w:val="0"/>
          <w:i w:val="0"/>
          <w:iCs w:val="0"/>
          <w:sz w:val="24"/>
          <w:szCs w:val="24"/>
          <w:rtl w:val="0"/>
        </w:rPr>
        <w:t xml:space="preserve"> targeting semiconductor-adjacent suppliers and another expansion in September 2025</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59</w:t>
      </w:r>
      <w:r w:rsidDel="00000000" w:rsidR="00000000" w:rsidRPr="00000000">
        <w:rPr>
          <w:rFonts w:ascii="Times New Roman" w:cs="Times New Roman" w:eastAsia="Times New Roman" w:hAnsi="Times New Roman"/>
          <w:b w:val="0"/>
          <w:bCs w:val="0"/>
          <w:i w:val="0"/>
          <w:iCs w:val="0"/>
          <w:sz w:val="24"/>
          <w:szCs w:val="24"/>
          <w:rtl w:val="0"/>
        </w:rPr>
        <w:t xml:space="preserve"> a reminder that Washington plays the weaponized-interdependence game too, just from the demand side rather than the supply side. The broader friend-shoring strategy has nonetheless been slowed by bureaucratic permitting delays and the absence of full value-chain buildout. The Government Accountability Office has repeatedly found DoD has not fully implemented statutory requirements</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60</w:t>
      </w:r>
      <w:r w:rsidDel="00000000" w:rsidR="00000000" w:rsidRPr="00000000">
        <w:rPr>
          <w:rFonts w:ascii="Times New Roman" w:cs="Times New Roman" w:eastAsia="Times New Roman" w:hAnsi="Times New Roman"/>
          <w:b w:val="0"/>
          <w:bCs w:val="0"/>
          <w:i w:val="0"/>
          <w:iCs w:val="0"/>
          <w:sz w:val="24"/>
          <w:szCs w:val="24"/>
          <w:rtl w:val="0"/>
        </w:rPr>
        <w:t xml:space="preserve"> Congress already passed, a finding that echoes GAO's earlier 2022 review</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61</w:t>
      </w:r>
      <w:r w:rsidDel="00000000" w:rsidR="00000000" w:rsidRPr="00000000">
        <w:rPr>
          <w:rFonts w:ascii="Times New Roman" w:cs="Times New Roman" w:eastAsia="Times New Roman" w:hAnsi="Times New Roman"/>
          <w:b w:val="0"/>
          <w:bCs w:val="0"/>
          <w:i w:val="0"/>
          <w:iCs w:val="0"/>
          <w:sz w:val="24"/>
          <w:szCs w:val="24"/>
          <w:rtl w:val="0"/>
        </w:rPr>
        <w:t xml:space="preserve"> of federal recovery and substitution efforts and its 2024 assessment</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62</w:t>
      </w:r>
      <w:r w:rsidDel="00000000" w:rsidR="00000000" w:rsidRPr="00000000">
        <w:rPr>
          <w:rFonts w:ascii="Times New Roman" w:cs="Times New Roman" w:eastAsia="Times New Roman" w:hAnsi="Times New Roman"/>
          <w:b w:val="0"/>
          <w:bCs w:val="0"/>
          <w:i w:val="0"/>
          <w:iCs w:val="0"/>
          <w:sz w:val="24"/>
          <w:szCs w:val="24"/>
          <w:rtl w:val="0"/>
        </w:rPr>
        <w:t xml:space="preserve"> of DoD's own reduction options, as well as a separate review of defense industrial base risk</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63</w:t>
      </w:r>
      <w:r w:rsidDel="00000000" w:rsidR="00000000" w:rsidRPr="00000000">
        <w:rPr>
          <w:rFonts w:ascii="Times New Roman" w:cs="Times New Roman" w:eastAsia="Times New Roman" w:hAnsi="Times New Roman"/>
          <w:b w:val="0"/>
          <w:bCs w:val="0"/>
          <w:i w:val="0"/>
          <w:iCs w:val="0"/>
          <w:sz w:val="24"/>
          <w:szCs w:val="24"/>
          <w:rtl w:val="0"/>
        </w:rPr>
        <w:t xml:space="preserve">. The European Union has pursued a parallel path through its Critical Raw Materials Act</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64</w:t>
      </w:r>
      <w:r w:rsidDel="00000000" w:rsidR="00000000" w:rsidRPr="00000000">
        <w:rPr>
          <w:rFonts w:ascii="Times New Roman" w:cs="Times New Roman" w:eastAsia="Times New Roman" w:hAnsi="Times New Roman"/>
          <w:b w:val="0"/>
          <w:bCs w:val="0"/>
          <w:i w:val="0"/>
          <w:iCs w:val="0"/>
          <w:sz w:val="24"/>
          <w:szCs w:val="24"/>
          <w:rtl w:val="0"/>
        </w:rPr>
        <w:t xml:space="preserve">, which sets 2030 benchmarks of 10 percent domestic extraction]{.underline} [and]{.underline} [40 percent processing</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65</w:t>
      </w:r>
      <w:r w:rsidDel="00000000" w:rsidR="00000000" w:rsidRPr="00000000">
        <w:rPr>
          <w:rFonts w:ascii="Times New Roman" w:cs="Times New Roman" w:eastAsia="Times New Roman" w:hAnsi="Times New Roman"/>
          <w:b w:val="0"/>
          <w:bCs w:val="0"/>
          <w:i w:val="0"/>
          <w:iCs w:val="0"/>
          <w:sz w:val="24"/>
          <w:szCs w:val="24"/>
          <w:rtl w:val="0"/>
        </w:rPr>
        <w:t xml:space="preserve"> targets that, per the Council of the EU's own tracking</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66</w:t>
      </w:r>
      <w:r w:rsidDel="00000000" w:rsidR="00000000" w:rsidRPr="00000000">
        <w:rPr>
          <w:rFonts w:ascii="Times New Roman" w:cs="Times New Roman" w:eastAsia="Times New Roman" w:hAnsi="Times New Roman"/>
          <w:b w:val="0"/>
          <w:bCs w:val="0"/>
          <w:i w:val="0"/>
          <w:iCs w:val="0"/>
          <w:sz w:val="24"/>
          <w:szCs w:val="24"/>
          <w:rtl w:val="0"/>
        </w:rPr>
        <w:t xml:space="preserve">, describe an ambition rather than a present capability. Jones Day's legal analysis of the Act's Strategic Projects mechanism found permitting timelines still lag China's pace</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67</w:t>
      </w:r>
      <w:r w:rsidDel="00000000" w:rsidR="00000000" w:rsidRPr="00000000">
        <w:rPr>
          <w:rFonts w:ascii="Times New Roman" w:cs="Times New Roman" w:eastAsia="Times New Roman" w:hAnsi="Times New Roman"/>
          <w:b w:val="0"/>
          <w:bCs w:val="0"/>
          <w:i w:val="0"/>
          <w:iCs w:val="0"/>
          <w:sz w:val="24"/>
          <w:szCs w:val="24"/>
          <w:rtl w:val="0"/>
        </w:rPr>
        <w:t xml:space="preserve"> by years, even after UNECE's 2024 assessment called it the most ambitious framework of its kind</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68</w:t>
      </w:r>
      <w:r w:rsidDel="00000000" w:rsidR="00000000" w:rsidRPr="00000000">
        <w:rPr>
          <w:rFonts w:ascii="Times New Roman" w:cs="Times New Roman" w:eastAsia="Times New Roman" w:hAnsi="Times New Roman"/>
          <w:b w:val="0"/>
          <w:bCs w:val="0"/>
          <w:i w:val="0"/>
          <w:iCs w:val="0"/>
          <w:sz w:val="24"/>
          <w:szCs w:val="24"/>
          <w:rtl w:val="0"/>
        </w:rPr>
        <w:t xml:space="preserve"> to date. A year on, CSIS's own retrospective</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69</w:t>
      </w:r>
      <w:r w:rsidDel="00000000" w:rsidR="00000000" w:rsidRPr="00000000">
        <w:rPr>
          <w:rFonts w:ascii="Times New Roman" w:cs="Times New Roman" w:eastAsia="Times New Roman" w:hAnsi="Times New Roman"/>
          <w:b w:val="0"/>
          <w:bCs w:val="0"/>
          <w:i w:val="0"/>
          <w:iCs w:val="0"/>
          <w:sz w:val="24"/>
          <w:szCs w:val="24"/>
          <w:rtl w:val="0"/>
        </w:rPr>
        <w:t xml:space="preserve"> found the combined U.S. and EU response had restored some resilience but had not closed the underlying speed gap with Beijing's state-directed capital deployment.</w:t>
      </w:r>
      <w:r w:rsidDel="00000000" w:rsidR="00000000" w:rsidRPr="00000000">
        <w:rPr>
          <w:rtl w:val="0"/>
        </w:rPr>
      </w:r>
    </w:p>
    <w:p w:rsidR="00000000" w:rsidDel="00000000" w:rsidP="00000000" w:rsidRDefault="00000000" w:rsidRPr="00000000" w14:paraId="00000058">
      <w:pPr>
        <w:rPr/>
      </w:pPr>
      <w:r w:rsidDel="00000000" w:rsidR="00000000" w:rsidRPr="00000000">
        <w:rPr>
          <w:rFonts w:ascii="Times New Roman" w:cs="Times New Roman" w:eastAsia="Times New Roman" w:hAnsi="Times New Roman"/>
          <w:b w:val="0"/>
          <w:bCs w:val="0"/>
          <w:i w:val="0"/>
          <w:iCs w:val="0"/>
          <w:sz w:val="24"/>
          <w:szCs w:val="24"/>
          <w:rtl w:val="0"/>
        </w:rPr>
        <w:t xml:space="preserve">The leverage China has built through this supply chain is, at root, a higher-order expression of an infrastructure-for-resources exchange the country has used elsewhere to build alignment. The potential leverage of AI-era components amounts, in short, to a monopoly and a formidable geopolitical lever. Should China constrain gallium or germanium flows at the height of the AI compute race, it could trigger a compute chokepoint event in which other nations fall behind for lack of components, while China's dual circulation strategy allows it to continue functioning domestically. Recent theoretical work on how both Washington and Beijing construct minerals as security issues</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70</w:t>
      </w:r>
      <w:r w:rsidDel="00000000" w:rsidR="00000000" w:rsidRPr="00000000">
        <w:rPr>
          <w:rFonts w:ascii="Times New Roman" w:cs="Times New Roman" w:eastAsia="Times New Roman" w:hAnsi="Times New Roman"/>
          <w:b w:val="0"/>
          <w:bCs w:val="0"/>
          <w:i w:val="0"/>
          <w:iCs w:val="0"/>
          <w:sz w:val="24"/>
          <w:szCs w:val="24"/>
          <w:rtl w:val="0"/>
        </w:rPr>
        <w:t xml:space="preserve"> argues this asymmetric-dependence framing is itself becoming a tool of statecraft, independent of the underlying physical scarcity. Two CNAS studies</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71</w:t>
      </w:r>
      <w:r w:rsidDel="00000000" w:rsidR="00000000" w:rsidRPr="00000000">
        <w:rPr>
          <w:rFonts w:ascii="Times New Roman" w:cs="Times New Roman" w:eastAsia="Times New Roman" w:hAnsi="Times New Roman"/>
          <w:b w:val="0"/>
          <w:bCs w:val="0"/>
          <w:i w:val="0"/>
          <w:iCs w:val="0"/>
          <w:sz w:val="24"/>
          <w:szCs w:val="24"/>
          <w:rtl w:val="0"/>
        </w:rPr>
        <w:t xml:space="preserve"> one on mitigating U.S. dependence directly and one on the broader resource race</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72</w:t>
      </w:r>
      <w:r w:rsidDel="00000000" w:rsidR="00000000" w:rsidRPr="00000000">
        <w:rPr>
          <w:rFonts w:ascii="Times New Roman" w:cs="Times New Roman" w:eastAsia="Times New Roman" w:hAnsi="Times New Roman"/>
          <w:b w:val="0"/>
          <w:bCs w:val="0"/>
          <w:i w:val="0"/>
          <w:iCs w:val="0"/>
          <w:sz w:val="24"/>
          <w:szCs w:val="24"/>
          <w:rtl w:val="0"/>
        </w:rPr>
        <w:t xml:space="preserve"> reach a similar conclusion: stockpiling alone will not solve a problem that is fundamentally about manufacturing capacity, not inventory. The remedy is getting ahead of the problem: research into alternative materials and domestic component manufacturing capacity so that even a full Chinese mineral cutoff would leave the country without a buyer for the finished component.</w:t>
      </w:r>
      <w:r w:rsidDel="00000000" w:rsidR="00000000" w:rsidRPr="00000000">
        <w:rPr>
          <w:rtl w:val="0"/>
        </w:rPr>
      </w:r>
    </w:p>
    <w:p w:rsidR="00000000" w:rsidDel="00000000" w:rsidP="00000000" w:rsidRDefault="00000000" w:rsidRPr="00000000" w14:paraId="00000059">
      <w:pPr>
        <w:rPr/>
      </w:pPr>
      <w:r w:rsidDel="00000000" w:rsidR="00000000" w:rsidRPr="00000000">
        <w:rPr>
          <w:rFonts w:ascii="Times New Roman" w:cs="Times New Roman" w:eastAsia="Times New Roman" w:hAnsi="Times New Roman"/>
          <w:b w:val="0"/>
          <w:bCs w:val="0"/>
          <w:i w:val="0"/>
          <w:iCs w:val="0"/>
          <w:sz w:val="24"/>
          <w:szCs w:val="24"/>
          <w:rtl w:val="0"/>
        </w:rPr>
        <w:t xml:space="preserve">Critical minerals remain important, but the AI compute race is shifting leverage toward critical components. For the West to compete with China on rare earth leverage, it must stay ahead as the chokepoint continues its climb up the supply chain. The Council on Foreign Relations' economic security task force</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73</w:t>
      </w:r>
      <w:r w:rsidDel="00000000" w:rsidR="00000000" w:rsidRPr="00000000">
        <w:rPr>
          <w:rFonts w:ascii="Times New Roman" w:cs="Times New Roman" w:eastAsia="Times New Roman" w:hAnsi="Times New Roman"/>
          <w:b w:val="0"/>
          <w:bCs w:val="0"/>
          <w:i w:val="0"/>
          <w:iCs w:val="0"/>
          <w:sz w:val="24"/>
          <w:szCs w:val="24"/>
          <w:rtl w:val="0"/>
        </w:rPr>
        <w:t xml:space="preserve"> and the U.S.-China Economic and Security Review Commission</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74</w:t>
      </w:r>
      <w:r w:rsidDel="00000000" w:rsidR="00000000" w:rsidRPr="00000000">
        <w:rPr>
          <w:rFonts w:ascii="Times New Roman" w:cs="Times New Roman" w:eastAsia="Times New Roman" w:hAnsi="Times New Roman"/>
          <w:b w:val="0"/>
          <w:bCs w:val="0"/>
          <w:i w:val="0"/>
          <w:iCs w:val="0"/>
          <w:sz w:val="24"/>
          <w:szCs w:val="24"/>
          <w:rtl w:val="0"/>
        </w:rPr>
        <w:t xml:space="preserve"> have both begun grouping minerals, semiconductors, and data-center components into a single chokepoint category for policy purposes, evidence that this shift is already shaping how Washington thinks about the problem. Should the West fail to match China in components, it risks a lasting disadvantage: a China insulated by its own dual circulation strategy, sealing off rare minerals from the world and forcing the West into dependency in the defining technological race of the decade.</w:t>
      </w:r>
      <w:r w:rsidDel="00000000" w:rsidR="00000000" w:rsidRPr="00000000">
        <w:rPr>
          <w:rtl w:val="0"/>
        </w:rPr>
      </w:r>
    </w:p>
    <w:p w:rsidR="00000000" w:rsidDel="00000000" w:rsidP="00000000" w:rsidRDefault="00000000" w:rsidRPr="00000000" w14:paraId="0000005A">
      <w:pPr>
        <w:rPr/>
      </w:pPr>
      <w:r w:rsidDel="00000000" w:rsidR="00000000" w:rsidRPr="00000000">
        <w:br w:type="page"/>
      </w:r>
      <w:r w:rsidDel="00000000" w:rsidR="00000000" w:rsidRPr="00000000">
        <w:rPr>
          <w:rtl w:val="0"/>
        </w:rPr>
      </w:r>
    </w:p>
    <w:p w:rsidR="00000000" w:rsidDel="00000000" w:rsidP="00000000" w:rsidRDefault="00000000" w:rsidRPr="00000000" w14:paraId="0000005B">
      <w:pPr>
        <w:pStyle w:val="Heading1"/>
        <w:pBdr>
          <w:bottom w:color="1b3a5c" w:space="4" w:sz="6" w:val="single"/>
        </w:pBdr>
        <w:spacing w:after="200" w:before="300" w:line="276" w:lineRule="auto"/>
        <w:rPr/>
      </w:pPr>
      <w:r w:rsidDel="00000000" w:rsidR="00000000" w:rsidRPr="00000000">
        <w:rPr>
          <w:b w:val="1"/>
          <w:bCs w:val="1"/>
          <w:sz w:val="30"/>
          <w:szCs w:val="30"/>
          <w:rtl w:val="0"/>
        </w:rPr>
        <w:t xml:space="preserve">Black Sands: Egypt’s Vanishing Radioactive Minerals </w:t>
      </w:r>
      <w:r w:rsidDel="00000000" w:rsidR="00000000" w:rsidRPr="00000000">
        <w:rPr>
          <w:rtl w:val="0"/>
        </w:rPr>
      </w:r>
    </w:p>
    <w:p w:rsidR="00000000" w:rsidDel="00000000" w:rsidP="00000000" w:rsidRDefault="00000000" w:rsidRPr="00000000" w14:paraId="0000005C">
      <w:pPr>
        <w:rPr>
          <w:i w:val="1"/>
          <w:iCs w:val="1"/>
          <w:sz w:val="24"/>
          <w:szCs w:val="24"/>
        </w:rPr>
      </w:pPr>
      <w:r w:rsidDel="00000000" w:rsidR="00000000" w:rsidRPr="00000000">
        <w:rPr>
          <w:i w:val="1"/>
          <w:iCs w:val="1"/>
          <w:sz w:val="24"/>
          <w:szCs w:val="24"/>
          <w:rtl w:val="0"/>
        </w:rPr>
        <w:t xml:space="preserve">By Souheil Mouhajir</w:t>
      </w:r>
      <w:r w:rsidDel="00000000" w:rsidR="00000000" w:rsidRPr="00000000">
        <w:rPr>
          <w:rFonts w:ascii="Times New Roman" w:cs="Times New Roman" w:eastAsia="Times New Roman" w:hAnsi="Times New Roman"/>
          <w:b w:val="0"/>
          <w:bCs w:val="0"/>
          <w:i w:val="1"/>
          <w:iCs w:val="1"/>
          <w:sz w:val="24"/>
          <w:szCs w:val="24"/>
          <w:rtl w:val="0"/>
        </w:rPr>
        <w:t xml:space="preserve">, J.M. Lindstrom </w:t>
      </w:r>
      <w:r w:rsidDel="00000000" w:rsidR="00000000" w:rsidRPr="00000000">
        <w:rPr>
          <w:rtl w:val="0"/>
        </w:rPr>
      </w:r>
    </w:p>
    <w:p w:rsidR="00000000" w:rsidDel="00000000" w:rsidP="00000000" w:rsidRDefault="00000000" w:rsidRPr="00000000" w14:paraId="0000005D">
      <w:pPr>
        <w:rPr/>
      </w:pPr>
      <w:r w:rsidDel="00000000" w:rsidR="00000000" w:rsidRPr="00000000">
        <w:rPr>
          <w:rFonts w:ascii="Times New Roman" w:cs="Times New Roman" w:eastAsia="Times New Roman" w:hAnsi="Times New Roman"/>
          <w:b w:val="0"/>
          <w:bCs w:val="0"/>
          <w:i w:val="0"/>
          <w:iCs w:val="0"/>
          <w:sz w:val="24"/>
          <w:szCs w:val="24"/>
          <w:rtl w:val="0"/>
        </w:rPr>
        <w:t xml:space="preserve">Egypt spent the first half of 2026 dismantling the barriers that had kept international mining companies out of the country. In May, the cabinet approved amendments to the executive regulations of the mining law cutting exploration rents by as much as sixty percent, reducing the state authority's mandatory joint venture stake from twenty-five percent to ten percent, and committing the regulator to thirty-day turnarounds on key approvals. In June, the petroleum ministry launched the first comprehensive aerial geophysical survey of the country since the 1980s, announced two months earlier at the OECD Critical Minerals Forum in Istanbul. The stated objective is to raise mining from roughly one percent of gross domestic product to six percent.</w:t>
      </w:r>
      <w:r w:rsidDel="00000000" w:rsidR="00000000" w:rsidRPr="00000000">
        <w:rPr>
          <w:rtl w:val="0"/>
        </w:rPr>
      </w:r>
    </w:p>
    <w:p w:rsidR="00000000" w:rsidDel="00000000" w:rsidP="00000000" w:rsidRDefault="00000000" w:rsidRPr="00000000" w14:paraId="0000005E">
      <w:pPr>
        <w:rPr/>
      </w:pPr>
      <w:r w:rsidDel="00000000" w:rsidR="00000000" w:rsidRPr="00000000">
        <w:rPr>
          <w:rFonts w:ascii="Times New Roman" w:cs="Times New Roman" w:eastAsia="Times New Roman" w:hAnsi="Times New Roman"/>
          <w:b w:val="0"/>
          <w:bCs w:val="0"/>
          <w:i w:val="0"/>
          <w:iCs w:val="0"/>
          <w:sz w:val="24"/>
          <w:szCs w:val="24"/>
          <w:rtl w:val="0"/>
        </w:rPr>
        <w:t xml:space="preserve">The response has been immediate. Centamin Central, a subsidiary of AngloGold Ashanti, signed a gold exploration licence with the Egyptian Mineral Resources Authority in July 2025, and Barrick initialled a framework agreement at the same forum. In July 2026, the authority signed a memorandum with a private Egyptian firm for a 930 million dollar phosphate project in the New Valley, targeting twenty million tonnes of annual ore production and four million tonnes of concentrate. China's Xingfa Chemicals Group has proposed a two billion dollar, three-phase phosphate investment in the Golden Triangle between the Gulf of Suez, the Red Sea and the Nile, structured around making Egypt its principal industrial base outside mainland China.</w:t>
      </w:r>
      <w:r w:rsidDel="00000000" w:rsidR="00000000" w:rsidRPr="00000000">
        <w:rPr>
          <w:rtl w:val="0"/>
        </w:rPr>
      </w:r>
    </w:p>
    <w:p w:rsidR="00000000" w:rsidDel="00000000" w:rsidP="00000000" w:rsidRDefault="00000000" w:rsidRPr="00000000" w14:paraId="0000005F">
      <w:pPr>
        <w:rPr/>
      </w:pPr>
      <w:r w:rsidDel="00000000" w:rsidR="00000000" w:rsidRPr="00000000">
        <w:rPr>
          <w:rFonts w:ascii="Times New Roman" w:cs="Times New Roman" w:eastAsia="Times New Roman" w:hAnsi="Times New Roman"/>
          <w:b w:val="0"/>
          <w:bCs w:val="0"/>
          <w:i w:val="0"/>
          <w:iCs w:val="0"/>
          <w:sz w:val="24"/>
          <w:szCs w:val="24"/>
          <w:rtl w:val="0"/>
        </w:rPr>
        <w:t xml:space="preserve">One resource is absent from all of it. Egypt's rare earth-bearing mineral is not in the Eastern Desert basement rocks the aerial survey is mapping. It lies in the heavy mineral sands along the Mediterranean shore, and those sands are not administered by the mining authority. They sit under a separate statute, worked by a company majority-owned by the armed forces, outside the licensing architecture Egypt has spent eighteen months liberalising. Foreign capital is not being kept out of Egyptian minerals. It is admitted to one mineral regime and excluded from the other, and the boundary between them runs exactly where the rare earths are.</w:t>
      </w:r>
      <w:r w:rsidDel="00000000" w:rsidR="00000000" w:rsidRPr="00000000">
        <w:rPr>
          <w:rtl w:val="0"/>
        </w:rPr>
      </w:r>
    </w:p>
    <w:p w:rsidR="00000000" w:rsidDel="00000000" w:rsidP="00000000" w:rsidRDefault="00000000" w:rsidRPr="00000000" w14:paraId="00000060">
      <w:pPr>
        <w:rPr/>
      </w:pPr>
      <w:r w:rsidDel="00000000" w:rsidR="00000000" w:rsidRPr="00000000">
        <w:rPr>
          <w:rFonts w:ascii="Times New Roman" w:cs="Times New Roman" w:eastAsia="Times New Roman" w:hAnsi="Times New Roman"/>
          <w:b w:val="0"/>
          <w:bCs w:val="0"/>
          <w:i w:val="0"/>
          <w:iCs w:val="0"/>
          <w:sz w:val="24"/>
          <w:szCs w:val="24"/>
          <w:rtl w:val="0"/>
        </w:rPr>
        <w:t xml:space="preserve">What is in the sands Egyptian black sands are a heavy mineral placer deposit concentrated by wave and current action along the Nile Delta coast. Presidential project documentation counts eight deposit areas along the Mediterranean stretch from Rasheed in the west to Rafah on the Sinai border, roughly four hundred kilometres, together with one area on the Red Sea coast and a further deposit at Lake Nasser. The economic fraction comprises ilmenite, rutile, zircon, garnet and magnetite, all industrial minerals with established markets, and monazite, the phosphate mineral that carries the rare earth elements and, with them, thorium and uranium.</w:t>
      </w:r>
      <w:r w:rsidDel="00000000" w:rsidR="00000000" w:rsidRPr="00000000">
        <w:rPr>
          <w:rtl w:val="0"/>
        </w:rPr>
      </w:r>
    </w:p>
    <w:p w:rsidR="00000000" w:rsidDel="00000000" w:rsidP="00000000" w:rsidRDefault="00000000" w:rsidRPr="00000000" w14:paraId="00000061">
      <w:pPr>
        <w:rPr/>
      </w:pPr>
      <w:r w:rsidDel="00000000" w:rsidR="00000000" w:rsidRPr="00000000">
        <w:rPr>
          <w:rFonts w:ascii="Times New Roman" w:cs="Times New Roman" w:eastAsia="Times New Roman" w:hAnsi="Times New Roman"/>
          <w:b w:val="0"/>
          <w:bCs w:val="0"/>
          <w:i w:val="0"/>
          <w:iCs w:val="0"/>
          <w:sz w:val="24"/>
          <w:szCs w:val="24"/>
          <w:rtl w:val="0"/>
        </w:rPr>
        <w:t xml:space="preserve">That association governs everything downstream. Monazite is radioactive by composition, which is why the deposit was surveyed by the Nuclear Materials Authority rather than by the mining authority, and why the Authority has described its own work on the resource as an effort to process</w:t>
      </w:r>
      <w:r w:rsidDel="00000000" w:rsidR="00000000" w:rsidRPr="00000000">
        <w:rPr>
          <w:rtl w:val="0"/>
        </w:rPr>
      </w:r>
    </w:p>
    <w:p w:rsidR="00000000" w:rsidDel="00000000" w:rsidP="00000000" w:rsidRDefault="00000000" w:rsidRPr="00000000" w14:paraId="00000062">
      <w:pPr>
        <w:rPr/>
      </w:pPr>
      <w:r w:rsidDel="00000000" w:rsidR="00000000" w:rsidRPr="00000000">
        <w:rPr>
          <w:rFonts w:ascii="Times New Roman" w:cs="Times New Roman" w:eastAsia="Times New Roman" w:hAnsi="Times New Roman"/>
          <w:b w:val="0"/>
          <w:bCs w:val="0"/>
          <w:i w:val="0"/>
          <w:iCs w:val="0"/>
          <w:sz w:val="24"/>
          <w:szCs w:val="24"/>
          <w:rtl w:val="0"/>
        </w:rPr>
        <w:t xml:space="preserve">monazite for thorium with minor uranium by-products. The institutional lineage runs through Egypt's atomic energy establishment, and it has done so since at least the 2006 feasibility study the Authority commissioned from an Australian engineering firm for the Burullus project.</w:t>
      </w:r>
      <w:r w:rsidDel="00000000" w:rsidR="00000000" w:rsidRPr="00000000">
        <w:rPr>
          <w:rtl w:val="0"/>
        </w:rPr>
      </w:r>
    </w:p>
    <w:p w:rsidR="00000000" w:rsidDel="00000000" w:rsidP="00000000" w:rsidRDefault="00000000" w:rsidRPr="00000000" w14:paraId="00000063">
      <w:pPr>
        <w:rPr/>
      </w:pPr>
      <w:r w:rsidDel="00000000" w:rsidR="00000000" w:rsidRPr="00000000">
        <w:rPr>
          <w:rFonts w:ascii="Times New Roman" w:cs="Times New Roman" w:eastAsia="Times New Roman" w:hAnsi="Times New Roman"/>
          <w:b w:val="0"/>
          <w:bCs w:val="0"/>
          <w:i w:val="0"/>
          <w:iCs w:val="0"/>
          <w:sz w:val="24"/>
          <w:szCs w:val="24"/>
          <w:rtl w:val="0"/>
        </w:rPr>
        <w:t xml:space="preserve">The lineage is older than that. The 1964 United States Minerals Yearbook records an Egyptian Black Sands company planning expansion near the mouth of the Rosetta branch of the Nile to recover between 100,000 and 150,000 tonnes of ilmenite, and reports borehole sampling in a twelve square kilometre beach area indicating some 37 million tonnes of economic minerals. Egypt has known what is on this coastline for sixty years. What changed in the last decade is who holds it.</w:t>
      </w:r>
      <w:r w:rsidDel="00000000" w:rsidR="00000000" w:rsidRPr="00000000">
        <w:rPr>
          <w:rtl w:val="0"/>
        </w:rPr>
      </w:r>
    </w:p>
    <w:p w:rsidR="00000000" w:rsidDel="00000000" w:rsidP="00000000" w:rsidRDefault="00000000" w:rsidRPr="00000000" w14:paraId="00000064">
      <w:pPr>
        <w:rPr/>
      </w:pPr>
      <w:r w:rsidDel="00000000" w:rsidR="00000000" w:rsidRPr="00000000">
        <w:rPr>
          <w:rFonts w:ascii="Times New Roman" w:cs="Times New Roman" w:eastAsia="Times New Roman" w:hAnsi="Times New Roman"/>
          <w:b w:val="0"/>
          <w:bCs w:val="0"/>
          <w:i w:val="0"/>
          <w:iCs w:val="0"/>
          <w:sz w:val="24"/>
          <w:szCs w:val="24"/>
          <w:rtl w:val="0"/>
        </w:rPr>
        <w:t xml:space="preserve">The operating vehicle was created in April 2016 with the armed forces as principal shareholder. The National Service Projects Organization holds sixty-one percent of the Egyptian Black Sand Company, the Nuclear Materials Authority fifteen percent, and the balance is divided among the National Investment Bank, the Kafr El-Sheikh governorate, and a state mining company. The foundation stone for the separation plant was laid at Burullus in 2018 on eighty feddans, and President Sisi inaugurated the complex on 19 October 2022. It cost roughly four billion Egyptian pounds, was built by Hassan Allam, and comprises six factories. The chairmanship has been held throughout by a serving Major General.</w:t>
      </w:r>
      <w:r w:rsidDel="00000000" w:rsidR="00000000" w:rsidRPr="00000000">
        <w:rPr>
          <w:rtl w:val="0"/>
        </w:rPr>
      </w:r>
    </w:p>
    <w:p w:rsidR="00000000" w:rsidDel="00000000" w:rsidP="00000000" w:rsidRDefault="00000000" w:rsidRPr="00000000" w14:paraId="00000065">
      <w:pPr>
        <w:rPr/>
      </w:pPr>
      <w:r w:rsidDel="00000000" w:rsidR="00000000" w:rsidRPr="00000000">
        <w:rPr>
          <w:rFonts w:ascii="Times New Roman" w:cs="Times New Roman" w:eastAsia="Times New Roman" w:hAnsi="Times New Roman"/>
          <w:b w:val="0"/>
          <w:bCs w:val="0"/>
          <w:i w:val="0"/>
          <w:iCs w:val="0"/>
          <w:sz w:val="24"/>
          <w:szCs w:val="24"/>
          <w:rtl w:val="0"/>
        </w:rPr>
        <w:t xml:space="preserve">The engineering is substantial. The complex operates a Damen-built dredger rated at 2,500 tonnes an hour, a floating concentration plant at 158 tonnes an hour, separation plants at Ghalioun and Rasheed with fixed and floating extraction units, extraction sites at the Damietta port sediment basins and Lake Manzala, a 75 megawatt power station, a desalination plant producing 4,200 cubic metres a day, and a dedicated gas pressure reduction station. Design output is 298,000 tonnes of ilmenite, 25,000 of zircon, 12,000 of garnet, 11,000 of rutile, and a monazite plant rated at 145,000 tonnes a year.</w:t>
      </w:r>
      <w:r w:rsidDel="00000000" w:rsidR="00000000" w:rsidRPr="00000000">
        <w:rPr>
          <w:rtl w:val="0"/>
        </w:rPr>
      </w:r>
    </w:p>
    <w:p w:rsidR="00000000" w:rsidDel="00000000" w:rsidP="00000000" w:rsidRDefault="00000000" w:rsidRPr="00000000" w14:paraId="00000066">
      <w:pPr>
        <w:rPr/>
      </w:pPr>
      <w:r w:rsidDel="00000000" w:rsidR="00000000" w:rsidRPr="00000000">
        <w:rPr>
          <w:rFonts w:ascii="Times New Roman" w:cs="Times New Roman" w:eastAsia="Times New Roman" w:hAnsi="Times New Roman"/>
          <w:b w:val="0"/>
          <w:bCs w:val="0"/>
          <w:i w:val="0"/>
          <w:iCs w:val="0"/>
          <w:sz w:val="24"/>
          <w:szCs w:val="24"/>
          <w:rtl w:val="0"/>
        </w:rPr>
        <w:t xml:space="preserve">That monazite figure is the one that matters. A dedicated plant with a nominal capacity of 145,000 tonnes a year is not an incidental by-product stream. It is a deliberate industrial commitment to the rare earth-bearing mineral, made by a military holding company, four years ago. No rare earth separation circuit downstream of it has been disclosed, no rare earth concentrate tonnage published, and no offtake arrangement for the monazite announced. Egypt built the capacity to separate the mineral that contains rare earths. Nothing in the public record indicates that it separates the rare earths themselves.</w:t>
      </w:r>
      <w:r w:rsidDel="00000000" w:rsidR="00000000" w:rsidRPr="00000000">
        <w:rPr>
          <w:rtl w:val="0"/>
        </w:rPr>
      </w:r>
    </w:p>
    <w:p w:rsidR="00000000" w:rsidDel="00000000" w:rsidP="00000000" w:rsidRDefault="00000000" w:rsidRPr="00000000" w14:paraId="00000067">
      <w:pPr>
        <w:rPr/>
      </w:pPr>
      <w:r w:rsidDel="00000000" w:rsidR="00000000" w:rsidRPr="00000000">
        <w:rPr>
          <w:rFonts w:ascii="Times New Roman" w:cs="Times New Roman" w:eastAsia="Times New Roman" w:hAnsi="Times New Roman"/>
          <w:b w:val="0"/>
          <w:bCs w:val="0"/>
          <w:i w:val="0"/>
          <w:iCs w:val="0"/>
          <w:sz w:val="24"/>
          <w:szCs w:val="24"/>
          <w:rtl w:val="0"/>
        </w:rPr>
        <w:t xml:space="preserve">An operating exporter that publishes nothing The plant is not idle. By mid-2025, the complex was reported to be exporting to more than nine countries, and the project has been framed officially as substituting fifty million dollars of imports and adding a hundred million dollars of annual exports against a projected six billion dollar return. A 2025 gas supply agreement with Taqa Petroleum underwrites the processing operation. What accompanies that commercial activity is silence on volume. No output figure has been published against any of the design capacities, and no audited accounts are available. A commercially active exporter publishing no production data is making a disclosure choice, not reporting an operational limit, and the asymmetry follows from the ownership rather than from the age of the project.</w:t>
      </w:r>
      <w:r w:rsidDel="00000000" w:rsidR="00000000" w:rsidRPr="00000000">
        <w:rPr>
          <w:rtl w:val="0"/>
        </w:rPr>
      </w:r>
    </w:p>
    <w:p w:rsidR="00000000" w:rsidDel="00000000" w:rsidP="00000000" w:rsidRDefault="00000000" w:rsidRPr="00000000" w14:paraId="00000068">
      <w:pPr>
        <w:rPr/>
      </w:pPr>
      <w:r w:rsidDel="00000000" w:rsidR="00000000" w:rsidRPr="00000000">
        <w:rPr>
          <w:rFonts w:ascii="Times New Roman" w:cs="Times New Roman" w:eastAsia="Times New Roman" w:hAnsi="Times New Roman"/>
          <w:b w:val="0"/>
          <w:bCs w:val="0"/>
          <w:i w:val="0"/>
          <w:iCs w:val="0"/>
          <w:sz w:val="24"/>
          <w:szCs w:val="24"/>
          <w:rtl w:val="0"/>
        </w:rPr>
        <w:t xml:space="preserve">The statute that holds the sands outside the market Egypt does not license its black sands. It legislates them. In 2019, President Sisi ratified Law No. 8, authorising the Minister of Electricity and Renewable Energy to contract with the Nuclear Materials Authority and the Egyptian Black Sand Company for the exploration, mining, concentration and exploitation of economic minerals and by-products from black sand ore nationwide. Three named state entities hold the rights by statute across the entire national territory. There is no concession round, no tender, no acreage on offer, and no foreign rights holder to identify.</w:t>
      </w:r>
      <w:r w:rsidDel="00000000" w:rsidR="00000000" w:rsidRPr="00000000">
        <w:rPr>
          <w:rtl w:val="0"/>
        </w:rPr>
      </w:r>
    </w:p>
    <w:p w:rsidR="00000000" w:rsidDel="00000000" w:rsidP="00000000" w:rsidRDefault="00000000" w:rsidRPr="00000000" w14:paraId="00000069">
      <w:pPr>
        <w:rPr/>
      </w:pPr>
      <w:r w:rsidDel="00000000" w:rsidR="00000000" w:rsidRPr="00000000">
        <w:rPr>
          <w:rFonts w:ascii="Times New Roman" w:cs="Times New Roman" w:eastAsia="Times New Roman" w:hAnsi="Times New Roman"/>
          <w:b w:val="0"/>
          <w:bCs w:val="0"/>
          <w:i w:val="0"/>
          <w:iCs w:val="0"/>
          <w:sz w:val="24"/>
          <w:szCs w:val="24"/>
          <w:rtl w:val="0"/>
        </w:rPr>
        <w:t xml:space="preserve">The contrast with the rest of the sector is the substance of the matter. Everything Egypt did in 2026 to attract mining investment operates through the Mineral Resources and Mining Industries Authority: the reduced rents, the smaller state carry, thirty-day approvals, the two-year exploration licences with a two-year extension, the survey data that will be marketed to investors. None of it touches the sands, which were removed from that architecture by legislation seven years earlier and vested in an entity with no equity available, no published accounts, and a reporting line to the armed forces rather than to the petroleum ministry.</w:t>
      </w:r>
      <w:r w:rsidDel="00000000" w:rsidR="00000000" w:rsidRPr="00000000">
        <w:rPr>
          <w:rtl w:val="0"/>
        </w:rPr>
      </w:r>
    </w:p>
    <w:p w:rsidR="00000000" w:rsidDel="00000000" w:rsidP="00000000" w:rsidRDefault="00000000" w:rsidRPr="00000000" w14:paraId="0000006A">
      <w:pPr>
        <w:rPr/>
      </w:pPr>
      <w:r w:rsidDel="00000000" w:rsidR="00000000" w:rsidRPr="00000000">
        <w:rPr>
          <w:rFonts w:ascii="Times New Roman" w:cs="Times New Roman" w:eastAsia="Times New Roman" w:hAnsi="Times New Roman"/>
          <w:b w:val="0"/>
          <w:bCs w:val="0"/>
          <w:i w:val="0"/>
          <w:iCs w:val="0"/>
          <w:sz w:val="24"/>
          <w:szCs w:val="24"/>
          <w:rtl w:val="0"/>
        </w:rPr>
        <w:t xml:space="preserve">The deposits are therefore not undeveloped because the geology is marginal, or because Cairo has no policy, or because foreign investors have overlooked them. They are outside the market because a legal decision put them there, and that decision was taken in the same period in which Egypt was preparing to open everything else.</w:t>
      </w:r>
      <w:r w:rsidDel="00000000" w:rsidR="00000000" w:rsidRPr="00000000">
        <w:rPr>
          <w:rtl w:val="0"/>
        </w:rPr>
      </w:r>
    </w:p>
    <w:p w:rsidR="00000000" w:rsidDel="00000000" w:rsidP="00000000" w:rsidRDefault="00000000" w:rsidRPr="00000000" w14:paraId="0000006B">
      <w:pPr>
        <w:rPr/>
      </w:pPr>
      <w:r w:rsidDel="00000000" w:rsidR="00000000" w:rsidRPr="00000000">
        <w:rPr>
          <w:rFonts w:ascii="Times New Roman" w:cs="Times New Roman" w:eastAsia="Times New Roman" w:hAnsi="Times New Roman"/>
          <w:b w:val="0"/>
          <w:bCs w:val="0"/>
          <w:i w:val="0"/>
          <w:iCs w:val="0"/>
          <w:sz w:val="24"/>
          <w:szCs w:val="24"/>
          <w:rtl w:val="0"/>
        </w:rPr>
        <w:t xml:space="preserve">Potential explanations for this fall under a series of categories. Firstly, such deposits could contain nuclear material; thorium or uranium content would thus put this under nuclear custodianship by default. Potentially, the National Service Projects Organization could retain a stake in the deposits under a military-commercial strategy, to keep the armed forces' business empire profitable, due to its independent revenue incentive, thus creating a rationale to keep such an opaque asset off the civilian books regardless of the contents.</w:t>
      </w:r>
      <w:r w:rsidDel="00000000" w:rsidR="00000000" w:rsidRPr="00000000">
        <w:rPr>
          <w:rtl w:val="0"/>
        </w:rPr>
      </w:r>
    </w:p>
    <w:p w:rsidR="00000000" w:rsidDel="00000000" w:rsidP="00000000" w:rsidRDefault="00000000" w:rsidRPr="00000000" w14:paraId="0000006C">
      <w:pPr>
        <w:rPr/>
      </w:pPr>
      <w:r w:rsidDel="00000000" w:rsidR="00000000" w:rsidRPr="00000000">
        <w:rPr>
          <w:rFonts w:ascii="Times New Roman" w:cs="Times New Roman" w:eastAsia="Times New Roman" w:hAnsi="Times New Roman"/>
          <w:b w:val="0"/>
          <w:bCs w:val="0"/>
          <w:i w:val="0"/>
          <w:iCs w:val="0"/>
          <w:sz w:val="24"/>
          <w:szCs w:val="24"/>
          <w:rtl w:val="0"/>
        </w:rPr>
        <w:t xml:space="preserve">These hypotheses work in conjunction, regardless of whether only one is accurate. Thorium and uranium content provide the Nuclear Materials Authority a claim which predates the 2019 statute by four decades. As such, it cannot be contested on grounds of national security; however, such a classification does not in and of itself explain the manifestation of the exclusion presented. Radioactive byproduct minerals are routinely licensed to civilian or foreign actors, with a regulator retaining oversight as opposed to the state retaining responsibility and ownership. Egypt did not choose this standard model, which is the most curious and indicative part of the story, brewing under Saharan sunlight. Three years before Law No. 8 was ratified, the National Service Projects Organization had already taken a majority equity stake in the company built to extract the ore, with the Nuclear Materials Authority holding another majority share alongside it. That structure is most certainly not a safety protocol so much as a mechanism of profit-sharing. Collusion, in other words. The 2019 law serves not as a nuclear custodianship decision so much as a legal instrument which enabled ownership arrangements which had already been established. A justification and cover-up as opposed to a specific security strategy, two very different things. The two logics are not competing explanations as to the events, so much as they are a strategy of profit. Radioactivity makes exclusion</w:t>
      </w:r>
      <w:r w:rsidDel="00000000" w:rsidR="00000000" w:rsidRPr="00000000">
        <w:rPr>
          <w:rtl w:val="0"/>
        </w:rPr>
      </w:r>
    </w:p>
    <w:p w:rsidR="00000000" w:rsidDel="00000000" w:rsidP="00000000" w:rsidRDefault="00000000" w:rsidRPr="00000000" w14:paraId="0000006D">
      <w:pPr>
        <w:rPr/>
      </w:pPr>
      <w:r w:rsidDel="00000000" w:rsidR="00000000" w:rsidRPr="00000000">
        <w:rPr>
          <w:rFonts w:ascii="Times New Roman" w:cs="Times New Roman" w:eastAsia="Times New Roman" w:hAnsi="Times New Roman"/>
          <w:b w:val="0"/>
          <w:bCs w:val="0"/>
          <w:i w:val="0"/>
          <w:iCs w:val="0"/>
          <w:sz w:val="24"/>
          <w:szCs w:val="24"/>
          <w:rtl w:val="0"/>
        </w:rPr>
        <w:t xml:space="preserve">defensible, while the military's revenue stake serves as the very reason exclusion occurred in the first place: over a licensed alternative.</w:t>
      </w:r>
      <w:r w:rsidDel="00000000" w:rsidR="00000000" w:rsidRPr="00000000">
        <w:rPr>
          <w:rtl w:val="0"/>
        </w:rPr>
      </w:r>
    </w:p>
    <w:p w:rsidR="00000000" w:rsidDel="00000000" w:rsidP="00000000" w:rsidRDefault="00000000" w:rsidRPr="00000000" w14:paraId="0000006E">
      <w:pPr>
        <w:rPr/>
      </w:pPr>
      <w:r w:rsidDel="00000000" w:rsidR="00000000" w:rsidRPr="00000000">
        <w:rPr>
          <w:rFonts w:ascii="Times New Roman" w:cs="Times New Roman" w:eastAsia="Times New Roman" w:hAnsi="Times New Roman"/>
          <w:b w:val="0"/>
          <w:bCs w:val="0"/>
          <w:i w:val="0"/>
          <w:iCs w:val="0"/>
          <w:sz w:val="24"/>
          <w:szCs w:val="24"/>
          <w:rtl w:val="0"/>
        </w:rPr>
        <w:t xml:space="preserve">Where the foreign capital actually is Chinese industrial investment in Egypt is large, legible and concentrated on the Canal. The China-Egypt TEDA Suez Economic and Trade Cooperation Zone at Ain Sokhna has expanded from an initial 7.34 square kilometres to more than ten, under a July 2025 agreement adding a further hundred million dollars of infrastructure. Chinese investors account for roughly half of the 11.6 billion dollars the Suez Canal Economic Zone attracted over three and a half years, and by the end of 2025 the cooperation zone reported around 310 million dollars in local tax contribution and more than 6.6 billion in cumulative sales.</w:t>
      </w:r>
      <w:r w:rsidDel="00000000" w:rsidR="00000000" w:rsidRPr="00000000">
        <w:rPr>
          <w:rtl w:val="0"/>
        </w:rPr>
      </w:r>
    </w:p>
    <w:p w:rsidR="00000000" w:rsidDel="00000000" w:rsidP="00000000" w:rsidRDefault="00000000" w:rsidRPr="00000000" w14:paraId="0000006F">
      <w:pPr>
        <w:rPr/>
      </w:pPr>
      <w:r w:rsidDel="00000000" w:rsidR="00000000" w:rsidRPr="00000000">
        <w:rPr>
          <w:rFonts w:ascii="Times New Roman" w:cs="Times New Roman" w:eastAsia="Times New Roman" w:hAnsi="Times New Roman"/>
          <w:b w:val="0"/>
          <w:bCs w:val="0"/>
          <w:i w:val="0"/>
          <w:iCs w:val="0"/>
          <w:sz w:val="24"/>
          <w:szCs w:val="24"/>
          <w:rtl w:val="0"/>
        </w:rPr>
        <w:t xml:space="preserve">The project inventory is specific, and it is industrial. In December 2025 TEDA-Egypt signed three contracts worth 1.15 billion dollars: an integrated polyester and polymer complex by Xin Feng Ming Group at more than 800 million, a heavy truck and passenger tyre plant by Chaoyang Langma at 190 million, and a health products complex by Tongling Jieya at 160 million, lifting zone investment to about 5.1 billion dollars in the first half of the 2025/26 fiscal year. Sailun Group is building a tyre plant of about one billion dollars, Jushi has expanded fibreglass capacity toward 320,000 tonnes a year, and in July 2026 Zenith Group committed 300 million dollars to a plant producing steel cord and bead wire for the tyre cluster already in place.</w:t>
      </w:r>
      <w:r w:rsidDel="00000000" w:rsidR="00000000" w:rsidRPr="00000000">
        <w:rPr>
          <w:rtl w:val="0"/>
        </w:rPr>
      </w:r>
    </w:p>
    <w:p w:rsidR="00000000" w:rsidDel="00000000" w:rsidP="00000000" w:rsidRDefault="00000000" w:rsidRPr="00000000" w14:paraId="00000070">
      <w:pPr>
        <w:rPr/>
      </w:pPr>
      <w:r w:rsidDel="00000000" w:rsidR="00000000" w:rsidRPr="00000000">
        <w:rPr>
          <w:rFonts w:ascii="Times New Roman" w:cs="Times New Roman" w:eastAsia="Times New Roman" w:hAnsi="Times New Roman"/>
          <w:b w:val="0"/>
          <w:bCs w:val="0"/>
          <w:i w:val="0"/>
          <w:iCs w:val="0"/>
          <w:sz w:val="24"/>
          <w:szCs w:val="24"/>
          <w:rtl w:val="0"/>
        </w:rPr>
        <w:t xml:space="preserve">Gulf capital is larger and sits elsewhere again. An ADQ-led consortium committed thirty-five billion dollars to Egypt in 2024, of which twenty-four billion purchased development rights at Ras El Hekma, a 170 million square metre coastal development roughly 350 kilometres north-west of Cairo. Abu Dhabi Ports has partnered with the Canal zone authority on an industrial park near Port Said, and the Kuwaiti logistics operator Agility opened a customs centre at Sokhna in February 2025 with further commitments to a regional distribution centre.</w:t>
      </w:r>
      <w:r w:rsidDel="00000000" w:rsidR="00000000" w:rsidRPr="00000000">
        <w:rPr>
          <w:rtl w:val="0"/>
        </w:rPr>
      </w:r>
    </w:p>
    <w:p w:rsidR="00000000" w:rsidDel="00000000" w:rsidP="00000000" w:rsidRDefault="00000000" w:rsidRPr="00000000" w14:paraId="00000071">
      <w:pPr>
        <w:rPr/>
      </w:pPr>
      <w:r w:rsidDel="00000000" w:rsidR="00000000" w:rsidRPr="00000000">
        <w:rPr>
          <w:rFonts w:ascii="Times New Roman" w:cs="Times New Roman" w:eastAsia="Times New Roman" w:hAnsi="Times New Roman"/>
          <w:b w:val="0"/>
          <w:bCs w:val="0"/>
          <w:i w:val="0"/>
          <w:iCs w:val="0"/>
          <w:sz w:val="24"/>
          <w:szCs w:val="24"/>
          <w:rtl w:val="0"/>
        </w:rPr>
        <w:t xml:space="preserve">Neither position is a mineral position, and the geography makes that plain. Ain Sokhna is on the Red Sea. Ras El Hekma is on the Mediterranean but west of Alexandria, while the heavy mineral belt begins at Rasheed and runs east. The largest single foreign investment in Egyptian history sits on the opposite side of the sands from the sands.</w:t>
      </w:r>
      <w:r w:rsidDel="00000000" w:rsidR="00000000" w:rsidRPr="00000000">
        <w:rPr>
          <w:rtl w:val="0"/>
        </w:rPr>
      </w:r>
    </w:p>
    <w:p w:rsidR="00000000" w:rsidDel="00000000" w:rsidP="00000000" w:rsidRDefault="00000000" w:rsidRPr="00000000" w14:paraId="00000072">
      <w:pPr>
        <w:rPr/>
      </w:pPr>
      <w:r w:rsidDel="00000000" w:rsidR="00000000" w:rsidRPr="00000000">
        <w:rPr>
          <w:rFonts w:ascii="Times New Roman" w:cs="Times New Roman" w:eastAsia="Times New Roman" w:hAnsi="Times New Roman"/>
          <w:b w:val="0"/>
          <w:bCs w:val="0"/>
          <w:i w:val="0"/>
          <w:iCs w:val="0"/>
          <w:sz w:val="24"/>
          <w:szCs w:val="24"/>
          <w:rtl w:val="0"/>
        </w:rPr>
        <w:t xml:space="preserve">Chinese capital is not uninterested in Egyptian minerals. The Xingfa proposal covers exploration, extraction, and chemical derivatives, and is precisely the kind of integrated upstream position the sands do not permit. Chinese firms are entering Egyptian mining where the door is open, through the mining authority, in phosphate. The distinction is not between minerals China wants and minerals it does not. It is between the regime that admits foreign capital and the regime that does not.</w:t>
      </w:r>
      <w:r w:rsidDel="00000000" w:rsidR="00000000" w:rsidRPr="00000000">
        <w:rPr>
          <w:rtl w:val="0"/>
        </w:rPr>
      </w:r>
    </w:p>
    <w:p w:rsidR="00000000" w:rsidDel="00000000" w:rsidP="00000000" w:rsidRDefault="00000000" w:rsidRPr="00000000" w14:paraId="00000073">
      <w:pPr>
        <w:rPr/>
      </w:pPr>
      <w:r w:rsidDel="00000000" w:rsidR="00000000" w:rsidRPr="00000000">
        <w:rPr>
          <w:rFonts w:ascii="Times New Roman" w:cs="Times New Roman" w:eastAsia="Times New Roman" w:hAnsi="Times New Roman"/>
          <w:b w:val="0"/>
          <w:bCs w:val="0"/>
          <w:i w:val="0"/>
          <w:iCs w:val="0"/>
          <w:sz w:val="24"/>
          <w:szCs w:val="24"/>
          <w:rtl w:val="0"/>
        </w:rPr>
        <w:t xml:space="preserve">Testing the corridor argument The scholarly frame for Red Sea competition supplies the expectation this record has to be measured against. Federico Donelli, in Power Competition in the Red Sea, examines the contest between established and emerging powers across the corridor from Suez to Bab el-Mandeb, a region of</w:t>
      </w:r>
      <w:r w:rsidDel="00000000" w:rsidR="00000000" w:rsidRPr="00000000">
        <w:rPr>
          <w:rtl w:val="0"/>
        </w:rPr>
      </w:r>
    </w:p>
    <w:p w:rsidR="00000000" w:rsidDel="00000000" w:rsidP="00000000" w:rsidRDefault="00000000" w:rsidRPr="00000000" w14:paraId="00000074">
      <w:pPr>
        <w:rPr/>
      </w:pPr>
      <w:r w:rsidDel="00000000" w:rsidR="00000000" w:rsidRPr="00000000">
        <w:rPr>
          <w:rFonts w:ascii="Times New Roman" w:cs="Times New Roman" w:eastAsia="Times New Roman" w:hAnsi="Times New Roman"/>
          <w:b w:val="0"/>
          <w:bCs w:val="0"/>
          <w:i w:val="0"/>
          <w:iCs w:val="0"/>
          <w:sz w:val="24"/>
          <w:szCs w:val="24"/>
          <w:rtl w:val="0"/>
        </w:rPr>
        <w:t xml:space="preserve">roughly 438,000 square kilometres bordering the Horn of Africa, the Arabian Peninsula and the western approaches to the Indo-Pacific. He describes a region in which the United States and China both hold military facilities in Djibouti, Russia has sought access at Port Sudan, and Gulf powers have expanded through ports, infrastructure and military cooperation. His own qualification is the operative one: external powers are not the only drivers of change, and regional states retain the agency to draw patrons in and play them against one another. Earlier work with Brendon Cannon made the related argument that enduring security burdens at home constrain how far Gulf ambition can reach.</w:t>
      </w:r>
      <w:r w:rsidDel="00000000" w:rsidR="00000000" w:rsidRPr="00000000">
        <w:rPr>
          <w:rtl w:val="0"/>
        </w:rPr>
      </w:r>
    </w:p>
    <w:p w:rsidR="00000000" w:rsidDel="00000000" w:rsidP="00000000" w:rsidRDefault="00000000" w:rsidRPr="00000000" w14:paraId="00000075">
      <w:pPr>
        <w:rPr/>
      </w:pPr>
      <w:r w:rsidDel="00000000" w:rsidR="00000000" w:rsidRPr="00000000">
        <w:rPr>
          <w:rFonts w:ascii="Times New Roman" w:cs="Times New Roman" w:eastAsia="Times New Roman" w:hAnsi="Times New Roman"/>
          <w:b w:val="0"/>
          <w:bCs w:val="0"/>
          <w:i w:val="0"/>
          <w:iCs w:val="0"/>
          <w:sz w:val="24"/>
          <w:szCs w:val="24"/>
          <w:rtl w:val="0"/>
        </w:rPr>
        <w:t xml:space="preserve">Egypt supplies an unusually clean instance of the first caution. The inference that outside powers financing infrastructure at a chokepoint must also be positioning for the minerals behind it is available, and the evidence does not support it. Read the Chinese project inventory at Ain Sokhna again for what is absent: polyester and polymer, tyres, fibreglass, glass, steel cord, nonwoven textiles, hygiene products, power generation. Not one mineral extraction project, not one separation or refining facility, and nothing touching the heavy mineral sands on the other coast. The Zenith steel cord commitment is the clearest indication of direction, localising the inputs to industries already placed in the zone rather than reaching into Egyptian ore.</w:t>
      </w:r>
      <w:r w:rsidDel="00000000" w:rsidR="00000000" w:rsidRPr="00000000">
        <w:rPr>
          <w:rtl w:val="0"/>
        </w:rPr>
      </w:r>
    </w:p>
    <w:p w:rsidR="00000000" w:rsidDel="00000000" w:rsidP="00000000" w:rsidRDefault="00000000" w:rsidRPr="00000000" w14:paraId="00000076">
      <w:pPr>
        <w:rPr/>
      </w:pPr>
      <w:r w:rsidDel="00000000" w:rsidR="00000000" w:rsidRPr="00000000">
        <w:rPr>
          <w:rFonts w:ascii="Times New Roman" w:cs="Times New Roman" w:eastAsia="Times New Roman" w:hAnsi="Times New Roman"/>
          <w:b w:val="0"/>
          <w:bCs w:val="0"/>
          <w:i w:val="0"/>
          <w:iCs w:val="0"/>
          <w:sz w:val="24"/>
          <w:szCs w:val="24"/>
          <w:rtl w:val="0"/>
        </w:rPr>
        <w:t xml:space="preserve">The Gulf case is sharper, because Gulf sovereign funds are demonstrably pursuing critical minerals elsewhere while being enormously present in Egypt for other purposes. ADQ joined the United States International Development Finance Corporation and Orion Resource Partners in establishing the Orion Critical Mineral Consortium, with an initial 1.8 billion dollars and a stated path to five, mandated toward existing or near-term producing assets. The Qatar Investment Authority has taken the financial exposure route, placing 180 million dollars into TechMet and 500 million into Ivanhoe Mines. Both mandates explain the absence. A monazite stream inside a military-owned company, with no published tonnage, no disclosed separation circuit and no equity on offer, does not pass a producing-asset filter and is not a listed company in which a stake can be taken.</w:t>
      </w:r>
      <w:r w:rsidDel="00000000" w:rsidR="00000000" w:rsidRPr="00000000">
        <w:rPr>
          <w:rtl w:val="0"/>
        </w:rPr>
      </w:r>
    </w:p>
    <w:p w:rsidR="00000000" w:rsidDel="00000000" w:rsidP="00000000" w:rsidRDefault="00000000" w:rsidRPr="00000000" w14:paraId="00000077">
      <w:pPr>
        <w:rPr/>
      </w:pPr>
      <w:r w:rsidDel="00000000" w:rsidR="00000000" w:rsidRPr="00000000">
        <w:rPr>
          <w:rFonts w:ascii="Times New Roman" w:cs="Times New Roman" w:eastAsia="Times New Roman" w:hAnsi="Times New Roman"/>
          <w:b w:val="0"/>
          <w:bCs w:val="0"/>
          <w:i w:val="0"/>
          <w:iCs w:val="0"/>
          <w:sz w:val="24"/>
          <w:szCs w:val="24"/>
          <w:rtl w:val="0"/>
        </w:rPr>
        <w:t xml:space="preserve">The corridor and the mineral estate are two different objects, governed by different authorities, on different coasts, under different laws. Reading them as one produces a story about latent great power positioning where the record shows a state that has declined to put one of its resources on the market.</w:t>
      </w:r>
      <w:r w:rsidDel="00000000" w:rsidR="00000000" w:rsidRPr="00000000">
        <w:rPr>
          <w:rtl w:val="0"/>
        </w:rPr>
      </w:r>
    </w:p>
    <w:p w:rsidR="00000000" w:rsidDel="00000000" w:rsidP="00000000" w:rsidRDefault="00000000" w:rsidRPr="00000000" w14:paraId="00000078">
      <w:pPr>
        <w:rPr/>
      </w:pPr>
      <w:r w:rsidDel="00000000" w:rsidR="00000000" w:rsidRPr="00000000">
        <w:rPr>
          <w:rFonts w:ascii="Times New Roman" w:cs="Times New Roman" w:eastAsia="Times New Roman" w:hAnsi="Times New Roman"/>
          <w:b w:val="0"/>
          <w:bCs w:val="0"/>
          <w:i w:val="0"/>
          <w:iCs w:val="0"/>
          <w:sz w:val="24"/>
          <w:szCs w:val="24"/>
          <w:rtl w:val="0"/>
        </w:rPr>
        <w:t xml:space="preserve">Why the rare earths would remain difficult Were the legal perimeter to dissolve tomorrow, two constraints would remain, and they are why monazite resources sit undeveloped in almost every country that holds them.</w:t>
      </w:r>
      <w:r w:rsidDel="00000000" w:rsidR="00000000" w:rsidRPr="00000000">
        <w:rPr>
          <w:rtl w:val="0"/>
        </w:rPr>
      </w:r>
    </w:p>
    <w:p w:rsidR="00000000" w:rsidDel="00000000" w:rsidP="00000000" w:rsidRDefault="00000000" w:rsidRPr="00000000" w14:paraId="00000079">
      <w:pPr>
        <w:rPr/>
      </w:pPr>
      <w:r w:rsidDel="00000000" w:rsidR="00000000" w:rsidRPr="00000000">
        <w:rPr>
          <w:rFonts w:ascii="Times New Roman" w:cs="Times New Roman" w:eastAsia="Times New Roman" w:hAnsi="Times New Roman"/>
          <w:b w:val="0"/>
          <w:bCs w:val="0"/>
          <w:i w:val="0"/>
          <w:iCs w:val="0"/>
          <w:sz w:val="24"/>
          <w:szCs w:val="24"/>
          <w:rtl w:val="0"/>
        </w:rPr>
        <w:t xml:space="preserve">There is a parallel to Egypt's predicament, however: India. India claims all monazite sands in terms of exploration and extraction, purely for government enterprises under the Atomic Mineral Concession Rules of 2016. This gives the state enterprise IREL a monopoly over rare earth production and, compounded with a 2019 amendment, a reduction in the permissible monazite threshold for private beach sand mining to zero. Thus shuttered the last opening private operators could have utilized. The justification is simple, due to the radioactive nature of the minerals. A radioactive material, such as monazite, should be kept in the right hands. Therefore, it is held under</w:t>
      </w:r>
      <w:r w:rsidDel="00000000" w:rsidR="00000000" w:rsidRPr="00000000">
        <w:rPr>
          <w:rtl w:val="0"/>
        </w:rPr>
      </w:r>
    </w:p>
    <w:p w:rsidR="00000000" w:rsidDel="00000000" w:rsidP="00000000" w:rsidRDefault="00000000" w:rsidRPr="00000000" w14:paraId="0000007A">
      <w:pPr>
        <w:rPr/>
      </w:pPr>
      <w:r w:rsidDel="00000000" w:rsidR="00000000" w:rsidRPr="00000000">
        <w:rPr>
          <w:rFonts w:ascii="Times New Roman" w:cs="Times New Roman" w:eastAsia="Times New Roman" w:hAnsi="Times New Roman"/>
          <w:b w:val="0"/>
          <w:bCs w:val="0"/>
          <w:i w:val="0"/>
          <w:iCs w:val="0"/>
          <w:sz w:val="24"/>
          <w:szCs w:val="24"/>
          <w:rtl w:val="0"/>
        </w:rPr>
        <w:t xml:space="preserve">the Department of Atomic Energy's controls. Malaysia reflects the same pattern outside a state-monopoly setting, wherein Lynas Rare Earths, which operates the first rare earth refinery outside of China, only secured a ten-year licence renewal in 2026, following years of controversy over radioactive waste accumulation. This radioactive waste was built up in LRE's Pahang facility- the renewal came with a requirement to eliminate that very stream of radioactive waste by 2031. In both cases, a pattern is made evident: sands and ore that hold thorium within them led to a radiological licensing regime, very unique relative to traditional mineral mining statutes because of the unique nature of radioactive material. It is this regime of licensing that causes monazite deposits to stall, regardless of ownership of those deposits. Egypt's arrangement quite simply is not an anomaly; however, it was uniquely invented to protect a military asset. It is a regulatory chokepoint that occurs, although in Egypt it occurs due to the benefit of a balance sheet at its heart.</w:t>
      </w:r>
      <w:r w:rsidDel="00000000" w:rsidR="00000000" w:rsidRPr="00000000">
        <w:rPr>
          <w:rtl w:val="0"/>
        </w:rPr>
      </w:r>
    </w:p>
    <w:p w:rsidR="00000000" w:rsidDel="00000000" w:rsidP="00000000" w:rsidRDefault="00000000" w:rsidRPr="00000000" w14:paraId="0000007B">
      <w:pPr>
        <w:rPr/>
      </w:pPr>
      <w:r w:rsidDel="00000000" w:rsidR="00000000" w:rsidRPr="00000000">
        <w:rPr>
          <w:rFonts w:ascii="Times New Roman" w:cs="Times New Roman" w:eastAsia="Times New Roman" w:hAnsi="Times New Roman"/>
          <w:b w:val="0"/>
          <w:bCs w:val="0"/>
          <w:i w:val="0"/>
          <w:iCs w:val="0"/>
          <w:sz w:val="24"/>
          <w:szCs w:val="24"/>
          <w:rtl w:val="0"/>
        </w:rPr>
        <w:t xml:space="preserve">The first is regulatory. Thorium and uranium in monazite make a separation circuit a radiological facility in substance, requiring waste management, monitoring, and a licensing regime Egypt has built around reactors rather than around industrial chemistry. The Nuclear Materials Authority's custodianship of the Egyptian deposit follows from that, and it explains why the resource never entered the licensing system that governs the rest of Egyptian mining.</w:t>
      </w:r>
      <w:r w:rsidDel="00000000" w:rsidR="00000000" w:rsidRPr="00000000">
        <w:rPr>
          <w:rtl w:val="0"/>
        </w:rPr>
      </w:r>
    </w:p>
    <w:p w:rsidR="00000000" w:rsidDel="00000000" w:rsidP="00000000" w:rsidRDefault="00000000" w:rsidRPr="00000000" w14:paraId="0000007C">
      <w:pPr>
        <w:rPr/>
      </w:pPr>
      <w:r w:rsidDel="00000000" w:rsidR="00000000" w:rsidRPr="00000000">
        <w:rPr>
          <w:rFonts w:ascii="Times New Roman" w:cs="Times New Roman" w:eastAsia="Times New Roman" w:hAnsi="Times New Roman"/>
          <w:b w:val="0"/>
          <w:bCs w:val="0"/>
          <w:i w:val="0"/>
          <w:iCs w:val="0"/>
          <w:sz w:val="24"/>
          <w:szCs w:val="24"/>
          <w:rtl w:val="0"/>
        </w:rPr>
        <w:t xml:space="preserve">The second is that rare earth value is not created at the mine. Separation and metallisation carry the margin and the leverage, and that capacity is concentrated in China to a degree with no parallel in any other industrial input. The International Energy Agency records China as the leading refiner for nineteen of twenty strategic minerals, with above ninety percent of refining capacity for rare earths and graphite, and the October 2025 export controls demonstrated that the position is treated as an instrument of policy. A monazite concentrate leaving Burullus would face a short list of destinations, most of them Chinese-owned. Egypt would convert a closed domestic resource into an export dependency on the single actor its Canal zone strategy is designed to balance.</w:t>
      </w:r>
      <w:r w:rsidDel="00000000" w:rsidR="00000000" w:rsidRPr="00000000">
        <w:rPr>
          <w:rtl w:val="0"/>
        </w:rPr>
      </w:r>
    </w:p>
    <w:p w:rsidR="00000000" w:rsidDel="00000000" w:rsidP="00000000" w:rsidRDefault="00000000" w:rsidRPr="00000000" w14:paraId="0000007D">
      <w:pPr>
        <w:rPr/>
      </w:pPr>
      <w:r w:rsidDel="00000000" w:rsidR="00000000" w:rsidRPr="00000000">
        <w:rPr>
          <w:rFonts w:ascii="Times New Roman" w:cs="Times New Roman" w:eastAsia="Times New Roman" w:hAnsi="Times New Roman"/>
          <w:b w:val="0"/>
          <w:bCs w:val="0"/>
          <w:i w:val="0"/>
          <w:iCs w:val="0"/>
          <w:sz w:val="24"/>
          <w:szCs w:val="24"/>
          <w:rtl w:val="0"/>
        </w:rPr>
        <w:t xml:space="preserve">The timing gives that dependency an edge it would not have had five years ago. The 2025 export controls turned refining concentration from an analytical observation into an operating constraint for buyers outside China, and both Washington and Brussels have since been building instruments to source rare earths from anywhere else. That is the demand environment in which an Egyptian monazite stream would command attention, and it is the moment at which Egypt has kept it closed.</w:t>
      </w:r>
      <w:r w:rsidDel="00000000" w:rsidR="00000000" w:rsidRPr="00000000">
        <w:rPr>
          <w:rtl w:val="0"/>
        </w:rPr>
      </w:r>
    </w:p>
    <w:p w:rsidR="00000000" w:rsidDel="00000000" w:rsidP="00000000" w:rsidRDefault="00000000" w:rsidRPr="00000000" w14:paraId="0000007E">
      <w:pPr>
        <w:rPr/>
      </w:pPr>
      <w:r w:rsidDel="00000000" w:rsidR="00000000" w:rsidRPr="00000000">
        <w:rPr>
          <w:rFonts w:ascii="Times New Roman" w:cs="Times New Roman" w:eastAsia="Times New Roman" w:hAnsi="Times New Roman"/>
          <w:b w:val="0"/>
          <w:bCs w:val="0"/>
          <w:i w:val="0"/>
          <w:iCs w:val="0"/>
          <w:sz w:val="24"/>
          <w:szCs w:val="24"/>
          <w:rtl w:val="0"/>
        </w:rPr>
        <w:t xml:space="preserve">The visible alternative runs through phosphate rather than sand. Peer-reviewed analysis of the Abu Tartour ore body in the New Valley records rare earth concentrations of roughly 1,800 parts per million, and laboratory hydrometallurgical leaching using phosphoric acid has demonstrated recovery above ninety-five percent. The mining authority signed a memorandum with a Czech-Egyptian fertiliser group in 2026 to fund exploration and reserve estimation at Abu Tartour, and a 573 million dollar phosphoric acid complex is under construction with commercial operations targeted for 2028, neither of which discloses a rare earth recovery stream. The significance is institutional. The rare earth route Egypt has opened to a foreign partner runs through phosphate under civilian jurisdiction, not through monazite under military jurisdiction.</w:t>
      </w:r>
      <w:r w:rsidDel="00000000" w:rsidR="00000000" w:rsidRPr="00000000">
        <w:rPr>
          <w:rtl w:val="0"/>
        </w:rPr>
      </w:r>
    </w:p>
    <w:p w:rsidR="00000000" w:rsidDel="00000000" w:rsidP="00000000" w:rsidRDefault="00000000" w:rsidRPr="00000000" w14:paraId="0000007F">
      <w:pPr>
        <w:rPr/>
      </w:pPr>
      <w:r w:rsidDel="00000000" w:rsidR="00000000" w:rsidRPr="00000000">
        <w:rPr>
          <w:rFonts w:ascii="Times New Roman" w:cs="Times New Roman" w:eastAsia="Times New Roman" w:hAnsi="Times New Roman"/>
          <w:b w:val="0"/>
          <w:bCs w:val="0"/>
          <w:i w:val="0"/>
          <w:iCs w:val="0"/>
          <w:sz w:val="24"/>
          <w:szCs w:val="24"/>
          <w:rtl w:val="0"/>
        </w:rPr>
        <w:t xml:space="preserve">Egypt is running two mineral policies simultaneously, and reading them as one produces an incoherent picture. The civilian regime is being liberalised aggressively to attract exploration capital into gold, phosphate and industrial minerals. The military regime holds the heavy mineral sands as a strategic asset developed on the state's own timetable, with no foreign equity and no disclosure. Both are functioning as designed.</w:t>
      </w:r>
      <w:r w:rsidDel="00000000" w:rsidR="00000000" w:rsidRPr="00000000">
        <w:rPr>
          <w:rtl w:val="0"/>
        </w:rPr>
      </w:r>
    </w:p>
    <w:p w:rsidR="00000000" w:rsidDel="00000000" w:rsidP="00000000" w:rsidRDefault="00000000" w:rsidRPr="00000000" w14:paraId="00000080">
      <w:pPr>
        <w:rPr/>
      </w:pPr>
      <w:r w:rsidDel="00000000" w:rsidR="00000000" w:rsidRPr="00000000">
        <w:rPr>
          <w:rFonts w:ascii="Times New Roman" w:cs="Times New Roman" w:eastAsia="Times New Roman" w:hAnsi="Times New Roman"/>
          <w:b w:val="0"/>
          <w:bCs w:val="0"/>
          <w:i w:val="0"/>
          <w:iCs w:val="0"/>
          <w:sz w:val="24"/>
          <w:szCs w:val="24"/>
          <w:rtl w:val="0"/>
        </w:rPr>
        <w:t xml:space="preserve">Great power competition over Egyptian rare earths is consequently not taking place, and its absence is a policy outcome rather than an oversight. There is no counterparty in the sands for a foreign investor to transact with. Analysis that reads Chinese proximity to the Canal as latent mineral positioning is mapping the wrong perimeter, because the Canal zone and the mineral estate are governed by different authorities on different coasts under different laws.</w:t>
      </w:r>
      <w:r w:rsidDel="00000000" w:rsidR="00000000" w:rsidRPr="00000000">
        <w:rPr>
          <w:rtl w:val="0"/>
        </w:rPr>
      </w:r>
    </w:p>
    <w:p w:rsidR="00000000" w:rsidDel="00000000" w:rsidP="00000000" w:rsidRDefault="00000000" w:rsidRPr="00000000" w14:paraId="00000081">
      <w:pPr>
        <w:rPr/>
      </w:pPr>
      <w:r w:rsidDel="00000000" w:rsidR="00000000" w:rsidRPr="00000000">
        <w:rPr>
          <w:rFonts w:ascii="Times New Roman" w:cs="Times New Roman" w:eastAsia="Times New Roman" w:hAnsi="Times New Roman"/>
          <w:b w:val="0"/>
          <w:bCs w:val="0"/>
          <w:i w:val="0"/>
          <w:iCs w:val="0"/>
          <w:sz w:val="24"/>
          <w:szCs w:val="24"/>
          <w:rtl w:val="0"/>
        </w:rPr>
        <w:t xml:space="preserve">The West has no direct stake in the sands and their nature as open or closed; such is the dealings of other nations and their domestic and regional interests. Nonetheless, this is not a story the West can ignore; ignorance of seemingly unrelated regions of the world, and unrelated problems, in such an interconnected and globalized world, is ignorance of the intense web the world has been spun within. Egypt has left a route open; that is imperative for Western buyers and policymakers. The Abu Tartour phosphate body carries significant rare earth content, and Cairo has already brought in foreign partners to develop it, under civilian jurisdiction, which was contracted and disclosed the traditional way mining deals are conducted. However, this is the entry point that exists at present, not the monazite stream, which does not exist. The West must ask if such institution building through non-China sourcing.</w:t>
      </w:r>
      <w:r w:rsidDel="00000000" w:rsidR="00000000" w:rsidRPr="00000000">
        <w:rPr>
          <w:rtl w:val="0"/>
        </w:rPr>
      </w:r>
    </w:p>
    <w:p w:rsidR="00000000" w:rsidDel="00000000" w:rsidP="00000000" w:rsidRDefault="00000000" w:rsidRPr="00000000" w14:paraId="00000082">
      <w:pPr>
        <w:rPr/>
      </w:pPr>
      <w:r w:rsidDel="00000000" w:rsidR="00000000" w:rsidRPr="00000000">
        <w:rPr>
          <w:rFonts w:ascii="Times New Roman" w:cs="Times New Roman" w:eastAsia="Times New Roman" w:hAnsi="Times New Roman"/>
          <w:b w:val="0"/>
          <w:bCs w:val="0"/>
          <w:i w:val="0"/>
          <w:iCs w:val="0"/>
          <w:sz w:val="24"/>
          <w:szCs w:val="24"/>
          <w:rtl w:val="0"/>
        </w:rPr>
        <w:t xml:space="preserve">The question the West must observe is not whether Egypt will open its heavy mineral sands, but rather if a Western institution building a non-China sourcing is functional. The phosphate route, its speed in scaling, and with enough discounted rare earth recovery to be significant before 2031- the timeline on which Malaysia's Lynas facilities are being forced to resolve their own thorium problems. China's refining dominance is a standing constraint upon the flow of these minerals in the world and to the West- as such, Egypt's actional story is imperative, in terms of long-term patterns, chokepoints, and the power held in Abu Tartour. The sands are a story to observe, rather than act concerning.</w:t>
      </w:r>
      <w:r w:rsidDel="00000000" w:rsidR="00000000" w:rsidRPr="00000000">
        <w:rPr>
          <w:rtl w:val="0"/>
        </w:rPr>
      </w:r>
    </w:p>
    <w:p w:rsidR="00000000" w:rsidDel="00000000" w:rsidP="00000000" w:rsidRDefault="00000000" w:rsidRPr="00000000" w14:paraId="00000083">
      <w:pPr>
        <w:rPr/>
      </w:pPr>
      <w:r w:rsidDel="00000000" w:rsidR="00000000" w:rsidRPr="00000000">
        <w:rPr>
          <w:rFonts w:ascii="Times New Roman" w:cs="Times New Roman" w:eastAsia="Times New Roman" w:hAnsi="Times New Roman"/>
          <w:b w:val="0"/>
          <w:bCs w:val="0"/>
          <w:i w:val="0"/>
          <w:iCs w:val="0"/>
          <w:sz w:val="24"/>
          <w:szCs w:val="24"/>
          <w:rtl w:val="0"/>
        </w:rPr>
        <w:t xml:space="preserve">The position is not permanent, and the indicators of change are specific. Three are worth watching. Whether the Egyptian Black Sand Company or the Nuclear Materials Authority publishes a rare earth concentrate figure against that 145,000 tonne monazite capacity, which would signal that separation has moved from design to operation. Whether monazite or the coastal sands appear in any acreage offered under the reformed mining regulations, which would mean the statutory carve-out has been narrowed. And whether the Abu Tartour projects disclose a rare earth recovery circuit, which would give Egypt a rare earth stream under civilian jurisdiction and make the sands question commercially secondary.</w:t>
      </w:r>
      <w:r w:rsidDel="00000000" w:rsidR="00000000" w:rsidRPr="00000000">
        <w:rPr>
          <w:rtl w:val="0"/>
        </w:rPr>
      </w:r>
    </w:p>
    <w:p w:rsidR="00000000" w:rsidDel="00000000" w:rsidP="00000000" w:rsidRDefault="00000000" w:rsidRPr="00000000" w14:paraId="00000084">
      <w:pPr>
        <w:rPr/>
      </w:pPr>
      <w:r w:rsidDel="00000000" w:rsidR="00000000" w:rsidRPr="00000000">
        <w:rPr>
          <w:rFonts w:ascii="Times New Roman" w:cs="Times New Roman" w:eastAsia="Times New Roman" w:hAnsi="Times New Roman"/>
          <w:b w:val="0"/>
          <w:bCs w:val="0"/>
          <w:i w:val="0"/>
          <w:iCs w:val="0"/>
          <w:sz w:val="24"/>
          <w:szCs w:val="24"/>
          <w:rtl w:val="0"/>
        </w:rPr>
        <w:t xml:space="preserve">Until one of those moves, the accurate characterisation of Egypt's rare earth position is not untapped potential awaiting investment. It is a state that has built the extraction capacity, retained it inside the security economy, exported industrial minerals from it to more than nine countries, declined to</w:t>
      </w:r>
      <w:r w:rsidDel="00000000" w:rsidR="00000000" w:rsidRPr="00000000">
        <w:rPr>
          <w:rtl w:val="0"/>
        </w:rPr>
        <w:t xml:space="preserve"> </w:t>
      </w:r>
      <w:r w:rsidDel="00000000" w:rsidR="00000000" w:rsidRPr="00000000">
        <w:rPr>
          <w:rFonts w:ascii="Times New Roman" w:cs="Times New Roman" w:eastAsia="Times New Roman" w:hAnsi="Times New Roman"/>
          <w:b w:val="0"/>
          <w:bCs w:val="0"/>
          <w:i w:val="0"/>
          <w:iCs w:val="0"/>
          <w:sz w:val="24"/>
          <w:szCs w:val="24"/>
          <w:rtl w:val="0"/>
        </w:rPr>
        <w:t xml:space="preserve">publish what it produces, and opened everything around it. That is a choice, and a more interesting one than neglect.</w:t>
      </w:r>
      <w:r w:rsidDel="00000000" w:rsidR="00000000" w:rsidRPr="00000000">
        <w:rPr>
          <w:rtl w:val="0"/>
        </w:rPr>
      </w:r>
    </w:p>
    <w:p w:rsidR="00000000" w:rsidDel="00000000" w:rsidP="00000000" w:rsidRDefault="00000000" w:rsidRPr="00000000" w14:paraId="00000085">
      <w:pPr>
        <w:rPr/>
      </w:pPr>
      <w:r w:rsidDel="00000000" w:rsidR="00000000" w:rsidRPr="00000000">
        <w:br w:type="page"/>
      </w:r>
      <w:r w:rsidDel="00000000" w:rsidR="00000000" w:rsidRPr="00000000">
        <w:rPr>
          <w:rtl w:val="0"/>
        </w:rPr>
      </w:r>
    </w:p>
    <w:p w:rsidR="00000000" w:rsidDel="00000000" w:rsidP="00000000" w:rsidRDefault="00000000" w:rsidRPr="00000000" w14:paraId="00000086">
      <w:pPr>
        <w:pStyle w:val="Heading1"/>
        <w:pBdr>
          <w:bottom w:color="1b3a5c" w:space="4" w:sz="6" w:val="single"/>
        </w:pBdr>
        <w:spacing w:after="200" w:before="300" w:line="276" w:lineRule="auto"/>
        <w:rPr/>
      </w:pPr>
      <w:r w:rsidDel="00000000" w:rsidR="00000000" w:rsidRPr="00000000">
        <w:rPr>
          <w:rFonts w:ascii="Times New Roman" w:cs="Times New Roman" w:eastAsia="Times New Roman" w:hAnsi="Times New Roman"/>
          <w:b w:val="1"/>
          <w:bCs w:val="1"/>
          <w:i w:val="0"/>
          <w:iCs w:val="0"/>
          <w:sz w:val="30"/>
          <w:szCs w:val="30"/>
          <w:rtl w:val="0"/>
        </w:rPr>
        <w:t xml:space="preserve">Norway's Seabed Reversal </w:t>
      </w:r>
      <w:r w:rsidDel="00000000" w:rsidR="00000000" w:rsidRPr="00000000">
        <w:rPr>
          <w:b w:val="1"/>
          <w:bCs w:val="1"/>
          <w:sz w:val="30"/>
          <w:szCs w:val="30"/>
          <w:rtl w:val="0"/>
        </w:rPr>
        <w:t xml:space="preserve">&amp;</w:t>
      </w:r>
      <w:r w:rsidDel="00000000" w:rsidR="00000000" w:rsidRPr="00000000">
        <w:rPr>
          <w:rFonts w:ascii="Times New Roman" w:cs="Times New Roman" w:eastAsia="Times New Roman" w:hAnsi="Times New Roman"/>
          <w:b w:val="1"/>
          <w:bCs w:val="1"/>
          <w:i w:val="0"/>
          <w:iCs w:val="0"/>
          <w:sz w:val="30"/>
          <w:szCs w:val="30"/>
          <w:rtl w:val="0"/>
        </w:rPr>
        <w:t xml:space="preserve"> the Supply Gap Nobody Is Counting</w:t>
      </w:r>
      <w:r w:rsidDel="00000000" w:rsidR="00000000" w:rsidRPr="00000000">
        <w:rPr>
          <w:rtl w:val="0"/>
        </w:rPr>
      </w:r>
    </w:p>
    <w:p w:rsidR="00000000" w:rsidDel="00000000" w:rsidP="00000000" w:rsidRDefault="00000000" w:rsidRPr="00000000" w14:paraId="00000087">
      <w:pPr>
        <w:rPr/>
      </w:pPr>
      <w:r w:rsidDel="00000000" w:rsidR="00000000" w:rsidRPr="00000000">
        <w:rPr>
          <w:rFonts w:ascii="Times New Roman" w:cs="Times New Roman" w:eastAsia="Times New Roman" w:hAnsi="Times New Roman"/>
          <w:b w:val="0"/>
          <w:bCs w:val="0"/>
          <w:i w:val="1"/>
          <w:iCs w:val="1"/>
          <w:sz w:val="24"/>
          <w:szCs w:val="24"/>
          <w:rtl w:val="0"/>
        </w:rPr>
        <w:t xml:space="preserve">J. M. Lindstrom</w:t>
      </w:r>
      <w:r w:rsidDel="00000000" w:rsidR="00000000" w:rsidRPr="00000000">
        <w:rPr>
          <w:rtl w:val="0"/>
        </w:rPr>
      </w:r>
    </w:p>
    <w:p w:rsidR="00000000" w:rsidDel="00000000" w:rsidP="00000000" w:rsidRDefault="00000000" w:rsidRPr="00000000" w14:paraId="00000088">
      <w:pPr>
        <w:rPr/>
      </w:pPr>
      <w:r w:rsidDel="00000000" w:rsidR="00000000" w:rsidRPr="00000000">
        <w:rPr>
          <w:rFonts w:ascii="Times New Roman" w:cs="Times New Roman" w:eastAsia="Times New Roman" w:hAnsi="Times New Roman"/>
          <w:b w:val="0"/>
          <w:bCs w:val="0"/>
          <w:i w:val="0"/>
          <w:iCs w:val="0"/>
          <w:sz w:val="24"/>
          <w:szCs w:val="24"/>
          <w:rtl w:val="0"/>
        </w:rPr>
        <w:t xml:space="preserve">Norway's December 2025 parliamentary decision to halt all Arctic seabed mining licenses until at least 2029 has been covered in the media almost entirely as an environmental story. This article asks a narrower, and different, question: has the moratorium created a supply gap that existing Western critical minerals policy has failed to recognize? Norway was positioned, explicitly or implicitly, within the supply assumptions behind the EU's Critical Raw Materials Act (CRMA). The December reversal was not the product of a shift in environmental values but of coalition arithmetic: Labour's minority government required Socialist Left support to pass the 2026 state budget, and the moratorium was the price. The political conditions that produced it are durable, and at least one Norwegian deep-sea mining company has gone bankrupt since the vote. Drawing on the European Court of Auditors' April 2026 special report on critical raw materials, the EU's RESourceEU action plan, parliamentary reporting, and industry data, this article argues in four steps: that the moratorium will outlast the CRMA's planning window, that CRMA planning assumed Norwegian seabed minerals as a plausible future source, that no realistic alternative, Greenland rare earth projects, Pacific nodule fields, or DRC terrestrial mining, closes the resulting gap before 2030, and that existing EU and allied policy instruments have not revised their assumptions to reflect any of it. Norway's moratorium is a defensible environmental decision. Its strategic consequences, however, have not yet been priced into Western policy planning.</w:t>
      </w:r>
      <w:r w:rsidDel="00000000" w:rsidR="00000000" w:rsidRPr="00000000">
        <w:rPr>
          <w:rtl w:val="0"/>
        </w:rPr>
      </w:r>
    </w:p>
    <w:p w:rsidR="00000000" w:rsidDel="00000000" w:rsidP="00000000" w:rsidRDefault="00000000" w:rsidRPr="00000000" w14:paraId="00000089">
      <w:pPr>
        <w:rPr/>
      </w:pPr>
      <w:r w:rsidDel="00000000" w:rsidR="00000000" w:rsidRPr="00000000">
        <w:rPr>
          <w:rFonts w:ascii="Times New Roman" w:cs="Times New Roman" w:eastAsia="Times New Roman" w:hAnsi="Times New Roman"/>
          <w:b w:val="0"/>
          <w:bCs w:val="0"/>
          <w:i w:val="0"/>
          <w:iCs w:val="0"/>
          <w:sz w:val="24"/>
          <w:szCs w:val="24"/>
          <w:rtl w:val="0"/>
        </w:rPr>
        <w:t xml:space="preserve">The moratorium is of domestic, rather than international origin; however, this requires a closer examination of the strategy behind its exigence. Policy driven by a settled environmental consensus is able to shift or reverse in tandem with a consensus, should it shift; policy stuck as a single condition among several in a coalition budget negotiation is far different. The second of these two is prominent as it persists for the same duration as the coalition deems it, regardless of changing evidence as to the fallibility of the policy. It is this distinction of the malleability of policy that turns domestic politics into a load-bearing premise for the argument below; not simply background. The case for treating the moratorium as durable, rather than as a pause awaiting reversal, rests on understanding why it happened, not simply that it happened.</w:t>
      </w:r>
      <w:r w:rsidDel="00000000" w:rsidR="00000000" w:rsidRPr="00000000">
        <w:rPr>
          <w:rtl w:val="0"/>
        </w:rPr>
      </w:r>
    </w:p>
    <w:p w:rsidR="00000000" w:rsidDel="00000000" w:rsidP="00000000" w:rsidRDefault="00000000" w:rsidRPr="00000000" w14:paraId="0000008A">
      <w:pPr>
        <w:rPr/>
      </w:pPr>
      <w:r w:rsidDel="00000000" w:rsidR="00000000" w:rsidRPr="00000000">
        <w:rPr>
          <w:rFonts w:ascii="Times New Roman" w:cs="Times New Roman" w:eastAsia="Times New Roman" w:hAnsi="Times New Roman"/>
          <w:b w:val="0"/>
          <w:bCs w:val="0"/>
          <w:i w:val="0"/>
          <w:iCs w:val="0"/>
          <w:sz w:val="24"/>
          <w:szCs w:val="24"/>
          <w:rtl w:val="0"/>
        </w:rPr>
        <w:t xml:space="preserve">The vote cast by Norway in December 2025 to suspend all new Arctic seabed mining licenses until at least 2029 was not solely driven by a shift in environmental values. It was partially the price of a budget deal as well. Labour's minority government needed votes from the Socialist Left Party to pass the 2026 state budget, and the moratorium was the price of those votes. The mechanics of this political maneuvering are documented: Sosialistisk Venstreparti (SV) leader Kirsti Bergsto announced the deal by stating there would be “no licensing round and no announcement of one.” Prime Minister Jonas Gahr Støre spoke to reporters thereafter, where he described the outcome as a postponement rather than a permanently established ban. He noted that the Socialist Left does not “hold power forever.” Thus, his framing was accurate and strategically irrelevant simultaneously; a postponement with no restart mechanism and no successor policy is functionally a ban in regard to the supply chain planning horizon </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1,2</w:t>
      </w:r>
      <w:r w:rsidDel="00000000" w:rsidR="00000000" w:rsidRPr="00000000">
        <w:rPr>
          <w:rFonts w:ascii="Times New Roman" w:cs="Times New Roman" w:eastAsia="Times New Roman" w:hAnsi="Times New Roman"/>
          <w:b w:val="0"/>
          <w:bCs w:val="0"/>
          <w:i w:val="0"/>
          <w:iCs w:val="0"/>
          <w:sz w:val="24"/>
          <w:szCs w:val="24"/>
          <w:rtl w:val="0"/>
        </w:rPr>
        <w:t xml:space="preserve">. One can describe a short-term pause in operations, but if they never resume, they are not simply paused, so much as shuttered.</w:t>
      </w:r>
      <w:r w:rsidDel="00000000" w:rsidR="00000000" w:rsidRPr="00000000">
        <w:rPr>
          <w:rtl w:val="0"/>
        </w:rPr>
      </w:r>
    </w:p>
    <w:p w:rsidR="00000000" w:rsidDel="00000000" w:rsidP="00000000" w:rsidRDefault="00000000" w:rsidRPr="00000000" w14:paraId="0000008B">
      <w:pPr>
        <w:rPr/>
      </w:pPr>
      <w:r w:rsidDel="00000000" w:rsidR="00000000" w:rsidRPr="00000000">
        <w:rPr>
          <w:rFonts w:ascii="Times New Roman" w:cs="Times New Roman" w:eastAsia="Times New Roman" w:hAnsi="Times New Roman"/>
          <w:b w:val="0"/>
          <w:bCs w:val="0"/>
          <w:i w:val="0"/>
          <w:iCs w:val="0"/>
          <w:sz w:val="24"/>
          <w:szCs w:val="24"/>
          <w:rtl w:val="0"/>
        </w:rPr>
        <w:t xml:space="preserve">The political arithmetic that produced this decision has not changed; the Socialist Left has no electoral incentive to reverse its position before the next parliamentary cycle. Norway's parliamentary elections, most recently held in September 2025, resulted in a political configuration that offered no obvious pathway to an accelerated restart. A resumption of licensing in 2029 is the most optimistic outcome, although 2030, if not later, is more plausible. Either way, the Critical Raw Materials Act's (CRMA) primary benchmark period expires before the Norwegian seabed supply becomes operational.</w:t>
      </w:r>
      <w:r w:rsidDel="00000000" w:rsidR="00000000" w:rsidRPr="00000000">
        <w:rPr>
          <w:rtl w:val="0"/>
        </w:rPr>
      </w:r>
    </w:p>
    <w:p w:rsidR="00000000" w:rsidDel="00000000" w:rsidP="00000000" w:rsidRDefault="00000000" w:rsidRPr="00000000" w14:paraId="0000008C">
      <w:pPr>
        <w:rPr/>
      </w:pPr>
      <w:r w:rsidDel="00000000" w:rsidR="00000000" w:rsidRPr="00000000">
        <w:rPr>
          <w:rFonts w:ascii="Times New Roman" w:cs="Times New Roman" w:eastAsia="Times New Roman" w:hAnsi="Times New Roman"/>
          <w:b w:val="0"/>
          <w:bCs w:val="0"/>
          <w:i w:val="0"/>
          <w:iCs w:val="0"/>
          <w:sz w:val="24"/>
          <w:szCs w:val="24"/>
          <w:rtl w:val="0"/>
        </w:rPr>
        <w:t xml:space="preserve">The incurred commercial damage reinforces this political stasis: Like Marine Minerals, a prominent Norwegian deep-sea mining startup that acquired UK Seabed Resources from Lockheed Martin in 2023, filed for bankruptcy on April 3, 2025. The company had been unable to attract refinancing after its investor base withdrew, citing regulatory uncertainty as well as growing political resistance to deep-sea mining globally. Its collapse eliminates the commercial sector's pressure that may have otherwise influenced and accelerated a Norwegian policy reversal</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3</w:t>
      </w:r>
      <w:r w:rsidDel="00000000" w:rsidR="00000000" w:rsidRPr="00000000">
        <w:rPr>
          <w:rFonts w:ascii="Times New Roman" w:cs="Times New Roman" w:eastAsia="Times New Roman" w:hAnsi="Times New Roman"/>
          <w:b w:val="0"/>
          <w:bCs w:val="0"/>
          <w:i w:val="0"/>
          <w:iCs w:val="0"/>
          <w:sz w:val="24"/>
          <w:szCs w:val="24"/>
          <w:rtl w:val="0"/>
        </w:rPr>
        <w:t xml:space="preserve">. Yet this does not matter directly to Western mineral strategy- unless the CRMA’s 2030 targets were, in fact, built with the Norwegian seabed capacity in their calculations.</w:t>
      </w:r>
      <w:r w:rsidDel="00000000" w:rsidR="00000000" w:rsidRPr="00000000">
        <w:rPr>
          <w:rtl w:val="0"/>
        </w:rPr>
      </w:r>
    </w:p>
    <w:p w:rsidR="00000000" w:rsidDel="00000000" w:rsidP="00000000" w:rsidRDefault="00000000" w:rsidRPr="00000000" w14:paraId="0000008D">
      <w:pPr>
        <w:rPr/>
      </w:pPr>
      <w:r w:rsidDel="00000000" w:rsidR="00000000" w:rsidRPr="00000000">
        <w:rPr>
          <w:rFonts w:ascii="Times New Roman" w:cs="Times New Roman" w:eastAsia="Times New Roman" w:hAnsi="Times New Roman"/>
          <w:b w:val="0"/>
          <w:bCs w:val="0"/>
          <w:i w:val="0"/>
          <w:iCs w:val="0"/>
          <w:sz w:val="24"/>
          <w:szCs w:val="24"/>
          <w:rtl w:val="0"/>
        </w:rPr>
        <w:t xml:space="preserve">Three facts posit the argument that Norway was crucial in CRMA planning. Firstly, the CRMA’s domestic-extraction benchmark was on the Commission's own later evidence, built on a target-setting methodology that the EU's external auditor would go on to describe as insufficiently justified, which means the benchmark was never a fixed inventory of committed projects but a feasibility judgment about which prospective sources were plausible enough to count toward it. A plausible, prospective source, the Norwegian seabed certainly is. Second, the Storting approved a 281,200-square-kilometer Arctic seabed licensing area in January 2024, months before the CRMA's implementing benchmarks were finalized, at a moment when Norway's seabed program was active and had not yet been excluded from that feasibility judgment. Third, no EU strategic document written after the moratorium has explained the domestic-extraction shortfall the European Court of Auditors identified without reference to a narrower pool of prospective sources than existed before December 2025.</w:t>
      </w:r>
      <w:r w:rsidDel="00000000" w:rsidR="00000000" w:rsidRPr="00000000">
        <w:rPr>
          <w:rtl w:val="0"/>
        </w:rPr>
      </w:r>
    </w:p>
    <w:p w:rsidR="00000000" w:rsidDel="00000000" w:rsidP="00000000" w:rsidRDefault="00000000" w:rsidRPr="00000000" w14:paraId="0000008E">
      <w:pPr>
        <w:rPr/>
      </w:pPr>
      <w:r w:rsidDel="00000000" w:rsidR="00000000" w:rsidRPr="00000000">
        <w:rPr>
          <w:rFonts w:ascii="Times New Roman" w:cs="Times New Roman" w:eastAsia="Times New Roman" w:hAnsi="Times New Roman"/>
          <w:b w:val="0"/>
          <w:bCs w:val="0"/>
          <w:i w:val="0"/>
          <w:iCs w:val="0"/>
          <w:sz w:val="24"/>
          <w:szCs w:val="24"/>
          <w:rtl w:val="0"/>
        </w:rPr>
        <w:t xml:space="preserve">None of this proves that a named modeling assumption inside the Commission cited Norway by name, and this article does not claim that it did. It shows something narrower, but still significant: the plausibility case behind the CRMA's targets depended on a pool of prospective domestic sources that was larger before December 2025 than it is now, and Norway's seabed program was part of that pool.</w:t>
      </w:r>
      <w:r w:rsidDel="00000000" w:rsidR="00000000" w:rsidRPr="00000000">
        <w:rPr>
          <w:rtl w:val="0"/>
        </w:rPr>
      </w:r>
    </w:p>
    <w:p w:rsidR="00000000" w:rsidDel="00000000" w:rsidP="00000000" w:rsidRDefault="00000000" w:rsidRPr="00000000" w14:paraId="0000008F">
      <w:pPr>
        <w:rPr/>
      </w:pPr>
      <w:r w:rsidDel="00000000" w:rsidR="00000000" w:rsidRPr="00000000">
        <w:rPr>
          <w:rFonts w:ascii="Times New Roman" w:cs="Times New Roman" w:eastAsia="Times New Roman" w:hAnsi="Times New Roman"/>
          <w:b w:val="0"/>
          <w:bCs w:val="0"/>
          <w:i w:val="0"/>
          <w:iCs w:val="0"/>
          <w:sz w:val="24"/>
          <w:szCs w:val="24"/>
          <w:rtl w:val="0"/>
        </w:rPr>
        <w:t xml:space="preserve">The Critical Raw Materials Act, initially adopted in April 2024 and enforced in May 2024, provides binding benchmarks for the European Union's (EU) annual consumption of strategic raw materials by 2030. The consumption targets for these minerals are: at least 10% from domestic extraction, at least 40% from EU processing capacity, and at least 25% from recycling. The Act additionally caps dependence on any single non-EU country at 65% of annual consumption of any given strategic material.</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4</w:t>
      </w:r>
      <w:r w:rsidDel="00000000" w:rsidR="00000000" w:rsidRPr="00000000">
        <w:rPr>
          <w:rtl w:val="0"/>
        </w:rPr>
      </w:r>
    </w:p>
    <w:p w:rsidR="00000000" w:rsidDel="00000000" w:rsidP="00000000" w:rsidRDefault="00000000" w:rsidRPr="00000000" w14:paraId="00000090">
      <w:pPr>
        <w:rPr/>
      </w:pPr>
      <w:r w:rsidDel="00000000" w:rsidR="00000000" w:rsidRPr="00000000">
        <w:rPr>
          <w:rFonts w:ascii="Times New Roman" w:cs="Times New Roman" w:eastAsia="Times New Roman" w:hAnsi="Times New Roman"/>
          <w:b w:val="0"/>
          <w:bCs w:val="0"/>
          <w:i w:val="0"/>
          <w:iCs w:val="0"/>
          <w:sz w:val="24"/>
          <w:szCs w:val="24"/>
          <w:rtl w:val="0"/>
        </w:rPr>
        <w:t xml:space="preserve">The manganese nodules and polymetallic sulfides resting on Norwegian seabeds were not formally written into the CRMA's extraction targets, however. No national legislation can bind a third state's resource decisions; however, the feasibility assumptions underlying the 10% domestic extraction benchmark implicitly treat Norwegian, as well as other European, seabed resources as part of a plausible future supply. Although it was not treated as a guarantee, it was at least conceivable within the planning window; this possibility was eradicated in December 2025. The European Court of Auditors' special report of April 2026 on critical raw materials</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5</w:t>
      </w:r>
      <w:r w:rsidDel="00000000" w:rsidR="00000000" w:rsidRPr="00000000">
        <w:rPr>
          <w:rFonts w:ascii="Times New Roman" w:cs="Times New Roman" w:eastAsia="Times New Roman" w:hAnsi="Times New Roman"/>
          <w:b w:val="0"/>
          <w:bCs w:val="0"/>
          <w:i w:val="0"/>
          <w:iCs w:val="0"/>
          <w:sz w:val="24"/>
          <w:szCs w:val="24"/>
          <w:rtl w:val="0"/>
        </w:rPr>
        <w:t xml:space="preserve"> confirmed what the industry had previously indicated: the EU's current extraction pipeline falls materially short of the 10% domestic extraction target. The report documented the gap between the stated ambition and the availability of project capacity across the EU's strategic mineral list (European</w:t>
      </w:r>
      <w:r w:rsidDel="00000000" w:rsidR="00000000" w:rsidRPr="00000000">
        <w:rPr>
          <w:rtl w:val="0"/>
        </w:rPr>
      </w:r>
    </w:p>
    <w:p w:rsidR="00000000" w:rsidDel="00000000" w:rsidP="00000000" w:rsidRDefault="00000000" w:rsidRPr="00000000" w14:paraId="00000091">
      <w:pPr>
        <w:rPr/>
      </w:pPr>
      <w:r w:rsidDel="00000000" w:rsidR="00000000" w:rsidRPr="00000000">
        <w:rPr>
          <w:rFonts w:ascii="Times New Roman" w:cs="Times New Roman" w:eastAsia="Times New Roman" w:hAnsi="Times New Roman"/>
          <w:b w:val="0"/>
          <w:bCs w:val="0"/>
          <w:i w:val="0"/>
          <w:iCs w:val="0"/>
          <w:sz w:val="24"/>
          <w:szCs w:val="24"/>
          <w:rtl w:val="0"/>
        </w:rPr>
        <w:t xml:space="preserve">The RESourceEU action plan, released as a response, identifies joint purchasing mechanisms, a dedicated coordination centre, and 3 billion euros in project financing as its primary means. It does not identify a credible substitute, however, for the Norwegian seabed supply window it now lacks.</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6</w:t>
      </w:r>
      <w:r w:rsidDel="00000000" w:rsidR="00000000" w:rsidRPr="00000000">
        <w:rPr>
          <w:rFonts w:ascii="Times New Roman" w:cs="Times New Roman" w:eastAsia="Times New Roman" w:hAnsi="Times New Roman"/>
          <w:b w:val="0"/>
          <w:bCs w:val="0"/>
          <w:i w:val="0"/>
          <w:iCs w:val="0"/>
          <w:sz w:val="24"/>
          <w:szCs w:val="24"/>
          <w:rtl w:val="0"/>
        </w:rPr>
        <w:t xml:space="preserve"> Without the Norwegian seabed supply, the assumptions established mean that nothing can fill the requirements in the timeframe; as such, alternatives are required.</w:t>
      </w:r>
      <w:r w:rsidDel="00000000" w:rsidR="00000000" w:rsidRPr="00000000">
        <w:rPr>
          <w:rtl w:val="0"/>
        </w:rPr>
      </w:r>
    </w:p>
    <w:p w:rsidR="00000000" w:rsidDel="00000000" w:rsidP="00000000" w:rsidRDefault="00000000" w:rsidRPr="00000000" w14:paraId="00000092">
      <w:pPr>
        <w:rPr/>
      </w:pPr>
      <w:r w:rsidDel="00000000" w:rsidR="00000000" w:rsidRPr="00000000">
        <w:rPr>
          <w:rFonts w:ascii="Times New Roman" w:cs="Times New Roman" w:eastAsia="Times New Roman" w:hAnsi="Times New Roman"/>
          <w:b w:val="0"/>
          <w:bCs w:val="0"/>
          <w:i w:val="0"/>
          <w:iCs w:val="0"/>
          <w:sz w:val="24"/>
          <w:szCs w:val="24"/>
          <w:rtl w:val="0"/>
        </w:rPr>
        <w:t xml:space="preserve">Three alternatives arise in discussions when Norwegian seabed supply is removed from the EU's mineral planning equation: Greenland rare earth projects, the Pacific Nodule Fields under International Seabed Authority (ISA) governance, and expanded terrestrial mining in the Democratic Republic of the Congo (DRC). None of the three, examined in turn below, resolves the CRMA timeline.</w:t>
      </w:r>
      <w:r w:rsidDel="00000000" w:rsidR="00000000" w:rsidRPr="00000000">
        <w:rPr>
          <w:rtl w:val="0"/>
        </w:rPr>
      </w:r>
    </w:p>
    <w:p w:rsidR="00000000" w:rsidDel="00000000" w:rsidP="00000000" w:rsidRDefault="00000000" w:rsidRPr="00000000" w14:paraId="00000093">
      <w:pPr>
        <w:rPr/>
      </w:pPr>
      <w:r w:rsidDel="00000000" w:rsidR="00000000" w:rsidRPr="00000000">
        <w:rPr>
          <w:rFonts w:ascii="Times New Roman" w:cs="Times New Roman" w:eastAsia="Times New Roman" w:hAnsi="Times New Roman"/>
          <w:b w:val="0"/>
          <w:bCs w:val="0"/>
          <w:i w:val="1"/>
          <w:iCs w:val="1"/>
          <w:sz w:val="24"/>
          <w:szCs w:val="24"/>
          <w:rtl w:val="0"/>
        </w:rPr>
        <w:t xml:space="preserve">Greenland</w:t>
      </w:r>
      <w:r w:rsidDel="00000000" w:rsidR="00000000" w:rsidRPr="00000000">
        <w:rPr>
          <w:rtl w:val="0"/>
        </w:rPr>
      </w:r>
    </w:p>
    <w:p w:rsidR="00000000" w:rsidDel="00000000" w:rsidP="00000000" w:rsidRDefault="00000000" w:rsidRPr="00000000" w14:paraId="00000094">
      <w:pPr>
        <w:rPr/>
      </w:pPr>
      <w:r w:rsidDel="00000000" w:rsidR="00000000" w:rsidRPr="00000000">
        <w:rPr>
          <w:rFonts w:ascii="Times New Roman" w:cs="Times New Roman" w:eastAsia="Times New Roman" w:hAnsi="Times New Roman"/>
          <w:b w:val="0"/>
          <w:bCs w:val="0"/>
          <w:i w:val="0"/>
          <w:iCs w:val="0"/>
          <w:sz w:val="24"/>
          <w:szCs w:val="24"/>
          <w:rtl w:val="0"/>
        </w:rPr>
        <w:t xml:space="preserve">The Tanbreez deposit, situated in southern Greenland, is one of the most advanced rare earth projects in the Western supply chain. Critical Metals Corp, through Greenland governmental approval, secured a 92.5% ownership stake in April 2026, and reported $769,000 in revenue against $153 million in net losses in its March 2026 U.S. Securities and Exchange Commission (SEC) filing. The company's feasibility study is approximately 70% complete. A pilot plant is breaking ground in Qaqortoq in May 2026; full production under an optimistic scenario is a 2032 to 2035 outcome, two to five years after the CRMA's primary targets expire. Compounding this, there is no separation facility on site; rare earth concentrates require processing into separated oxides before they become feasibly usable in defense or clean energy applications. This naturally requires further infrastructure that is neither funded nor sited at present.</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7</w:t>
      </w:r>
      <w:r w:rsidDel="00000000" w:rsidR="00000000" w:rsidRPr="00000000">
        <w:rPr>
          <w:rtl w:val="0"/>
        </w:rPr>
      </w:r>
    </w:p>
    <w:p w:rsidR="00000000" w:rsidDel="00000000" w:rsidP="00000000" w:rsidRDefault="00000000" w:rsidRPr="00000000" w14:paraId="00000095">
      <w:pPr>
        <w:rPr/>
      </w:pPr>
      <w:r w:rsidDel="00000000" w:rsidR="00000000" w:rsidRPr="00000000">
        <w:rPr>
          <w:rFonts w:ascii="Times New Roman" w:cs="Times New Roman" w:eastAsia="Times New Roman" w:hAnsi="Times New Roman"/>
          <w:b w:val="0"/>
          <w:bCs w:val="0"/>
          <w:i w:val="1"/>
          <w:iCs w:val="1"/>
          <w:sz w:val="24"/>
          <w:szCs w:val="24"/>
          <w:rtl w:val="0"/>
        </w:rPr>
        <w:t xml:space="preserve">Pacific Nodule Fields</w:t>
      </w:r>
      <w:r w:rsidDel="00000000" w:rsidR="00000000" w:rsidRPr="00000000">
        <w:rPr>
          <w:rtl w:val="0"/>
        </w:rPr>
      </w:r>
    </w:p>
    <w:p w:rsidR="00000000" w:rsidDel="00000000" w:rsidP="00000000" w:rsidRDefault="00000000" w:rsidRPr="00000000" w14:paraId="00000096">
      <w:pPr>
        <w:rPr/>
      </w:pPr>
      <w:r w:rsidDel="00000000" w:rsidR="00000000" w:rsidRPr="00000000">
        <w:rPr>
          <w:rFonts w:ascii="Times New Roman" w:cs="Times New Roman" w:eastAsia="Times New Roman" w:hAnsi="Times New Roman"/>
          <w:b w:val="0"/>
          <w:bCs w:val="0"/>
          <w:i w:val="0"/>
          <w:iCs w:val="0"/>
          <w:sz w:val="24"/>
          <w:szCs w:val="24"/>
          <w:rtl w:val="0"/>
        </w:rPr>
        <w:t xml:space="preserve">The Clarion-Clipperton Zone (CCZ) holds the world's richest known concentration of polymetallic nodules, covering an area roughly twice the size of the contiguous United States. The International Seabed Authority failed to adopt binding mining legislation regarding commercial extraction from the CCZ, thus constraining it despite over a decade of negotiations.</w:t>
      </w:r>
      <w:r w:rsidDel="00000000" w:rsidR="00000000" w:rsidRPr="00000000">
        <w:rPr>
          <w:rtl w:val="0"/>
        </w:rPr>
      </w:r>
    </w:p>
    <w:p w:rsidR="00000000" w:rsidDel="00000000" w:rsidP="00000000" w:rsidRDefault="00000000" w:rsidRPr="00000000" w14:paraId="00000097">
      <w:pPr>
        <w:rPr/>
      </w:pPr>
      <w:r w:rsidDel="00000000" w:rsidR="00000000" w:rsidRPr="00000000">
        <w:rPr>
          <w:rFonts w:ascii="Times New Roman" w:cs="Times New Roman" w:eastAsia="Times New Roman" w:hAnsi="Times New Roman"/>
          <w:b w:val="0"/>
          <w:bCs w:val="0"/>
          <w:i w:val="0"/>
          <w:iCs w:val="0"/>
          <w:sz w:val="24"/>
          <w:szCs w:val="24"/>
          <w:rtl w:val="0"/>
        </w:rPr>
        <w:t xml:space="preserve">The ISA's March 2025 Council session brought no resolution, although a U.S. Executive Order of April 2025 directed the National Oceanic and Atmospheric Administration (NOAA) to issue commercial extraction permits under domestic law, adding further dimensions of governance complexity that will not be resolved before the CRMA's 2030 benchmark arrives. Pacific nodule fields do not constitute a substitute supply on any near-term timeline.</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8</w:t>
      </w:r>
      <w:r w:rsidDel="00000000" w:rsidR="00000000" w:rsidRPr="00000000">
        <w:rPr>
          <w:rtl w:val="0"/>
        </w:rPr>
      </w:r>
    </w:p>
    <w:p w:rsidR="00000000" w:rsidDel="00000000" w:rsidP="00000000" w:rsidRDefault="00000000" w:rsidRPr="00000000" w14:paraId="00000098">
      <w:pPr>
        <w:rPr/>
      </w:pPr>
      <w:r w:rsidDel="00000000" w:rsidR="00000000" w:rsidRPr="00000000">
        <w:rPr>
          <w:rFonts w:ascii="Times New Roman" w:cs="Times New Roman" w:eastAsia="Times New Roman" w:hAnsi="Times New Roman"/>
          <w:b w:val="0"/>
          <w:bCs w:val="0"/>
          <w:i w:val="1"/>
          <w:iCs w:val="1"/>
          <w:sz w:val="24"/>
          <w:szCs w:val="24"/>
          <w:rtl w:val="0"/>
        </w:rPr>
        <w:t xml:space="preserve">DRC Terrestrial Mining</w:t>
      </w:r>
      <w:r w:rsidDel="00000000" w:rsidR="00000000" w:rsidRPr="00000000">
        <w:rPr>
          <w:rtl w:val="0"/>
        </w:rPr>
      </w:r>
    </w:p>
    <w:p w:rsidR="00000000" w:rsidDel="00000000" w:rsidP="00000000" w:rsidRDefault="00000000" w:rsidRPr="00000000" w14:paraId="00000099">
      <w:pPr>
        <w:rPr/>
      </w:pPr>
      <w:r w:rsidDel="00000000" w:rsidR="00000000" w:rsidRPr="00000000">
        <w:rPr>
          <w:rFonts w:ascii="Times New Roman" w:cs="Times New Roman" w:eastAsia="Times New Roman" w:hAnsi="Times New Roman"/>
          <w:b w:val="0"/>
          <w:bCs w:val="0"/>
          <w:i w:val="0"/>
          <w:iCs w:val="0"/>
          <w:sz w:val="24"/>
          <w:szCs w:val="24"/>
          <w:rtl w:val="0"/>
        </w:rPr>
        <w:t xml:space="preserve">The Democratic Republic of Congo accounts for the majority of global cobalt extraction and holds significant deposits of other strategic minerals. Expansion of DRC extraction faces artisanal labor conditions, governance risks, as well as supply chain due diligence requirements that the CRMA's sustainability provisions are specifically designed to exclude from compliant supply chains. Those labor conditions are concrete and well documented: an estimated 40,000 children work in DRC cobalt extraction, some as young as six, most earning a fraction of a living wage for hand-mining ore with no protective equipment, and expanded extraction has been linked to deforestation and to the kind of water and soil contamination that undermines local food security.</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9</w:t>
      </w:r>
      <w:r w:rsidDel="00000000" w:rsidR="00000000" w:rsidRPr="00000000">
        <w:rPr>
          <w:rFonts w:ascii="Times New Roman" w:cs="Times New Roman" w:eastAsia="Times New Roman" w:hAnsi="Times New Roman"/>
          <w:b w:val="0"/>
          <w:bCs w:val="0"/>
          <w:i w:val="0"/>
          <w:iCs w:val="0"/>
          <w:sz w:val="24"/>
          <w:szCs w:val="24"/>
          <w:rtl w:val="0"/>
        </w:rPr>
        <w:t xml:space="preserve"> The CRMA's framework for due diligence, aligned with the EU Corporate Sustainability Due Diligence Directive, requires that strategic projects meet environmental and human rights standards. These standards are not consistently satisfied by present DRC extraction conditions. DRC expansion is not CRMA-compliant, and therefore no substitute for the Norwegian seabed supply.</w:t>
      </w:r>
      <w:r w:rsidDel="00000000" w:rsidR="00000000" w:rsidRPr="00000000">
        <w:rPr>
          <w:rtl w:val="0"/>
        </w:rPr>
      </w:r>
    </w:p>
    <w:p w:rsidR="00000000" w:rsidDel="00000000" w:rsidP="00000000" w:rsidRDefault="00000000" w:rsidRPr="00000000" w14:paraId="0000009A">
      <w:pPr>
        <w:rPr/>
      </w:pPr>
      <w:r w:rsidDel="00000000" w:rsidR="00000000" w:rsidRPr="00000000">
        <w:rPr>
          <w:rFonts w:ascii="Times New Roman" w:cs="Times New Roman" w:eastAsia="Times New Roman" w:hAnsi="Times New Roman"/>
          <w:b w:val="0"/>
          <w:bCs w:val="0"/>
          <w:i w:val="0"/>
          <w:iCs w:val="0"/>
          <w:sz w:val="24"/>
          <w:szCs w:val="24"/>
          <w:rtl w:val="0"/>
        </w:rPr>
        <w:t xml:space="preserve">Three different obstacles, three different timelines, one common result. Greenland's Tanbreez project is real and advancing, but its own operators do not project full production before 2032 at the earliest. The Pacific Nodule Fields sit behind a governance stalemate that neither the ISA nor unilateral U.S. permitting has resolved. DRC expansion is technically available today but fails the CRMA's own compliance standard, which makes it unusable as a matter of law rather than geology. It also creates a hypocrisy of deliberation- to elect a potentially more destructive path, in the name of a policy which limits destruction. A supply gap closes only if an alternative clears every constraint standing between mineral in the ground and mineral inside a compliant EU supply chain: geology, infrastructure, governance, and law. None of the three alternatives clears all four before 2030. That is not three separate disappointments; it is one finding, reached three different ways.</w:t>
      </w:r>
      <w:r w:rsidDel="00000000" w:rsidR="00000000" w:rsidRPr="00000000">
        <w:rPr>
          <w:rtl w:val="0"/>
        </w:rPr>
      </w:r>
    </w:p>
    <w:p w:rsidR="00000000" w:rsidDel="00000000" w:rsidP="00000000" w:rsidRDefault="00000000" w:rsidRPr="00000000" w14:paraId="0000009B">
      <w:pPr>
        <w:rPr/>
      </w:pPr>
      <w:r w:rsidDel="00000000" w:rsidR="00000000" w:rsidRPr="00000000">
        <w:rPr>
          <w:rFonts w:ascii="Times New Roman" w:cs="Times New Roman" w:eastAsia="Times New Roman" w:hAnsi="Times New Roman"/>
          <w:b w:val="0"/>
          <w:bCs w:val="0"/>
          <w:i w:val="0"/>
          <w:iCs w:val="0"/>
          <w:sz w:val="24"/>
          <w:szCs w:val="24"/>
          <w:rtl w:val="0"/>
        </w:rPr>
        <w:t xml:space="preserve">If Norway had been a necessary, considered part of the calculus, and nothing else viable replaces it, the question that remains is whether Western policymakers are aware. In this situation, they have not; such silence is evidence in and of itself.</w:t>
      </w:r>
      <w:r w:rsidDel="00000000" w:rsidR="00000000" w:rsidRPr="00000000">
        <w:rPr>
          <w:rtl w:val="0"/>
        </w:rPr>
      </w:r>
    </w:p>
    <w:p w:rsidR="00000000" w:rsidDel="00000000" w:rsidP="00000000" w:rsidRDefault="00000000" w:rsidRPr="00000000" w14:paraId="0000009C">
      <w:pPr>
        <w:rPr/>
      </w:pPr>
      <w:r w:rsidDel="00000000" w:rsidR="00000000" w:rsidRPr="00000000">
        <w:rPr>
          <w:rFonts w:ascii="Times New Roman" w:cs="Times New Roman" w:eastAsia="Times New Roman" w:hAnsi="Times New Roman"/>
          <w:b w:val="0"/>
          <w:bCs w:val="0"/>
          <w:i w:val="0"/>
          <w:iCs w:val="0"/>
          <w:sz w:val="24"/>
          <w:szCs w:val="24"/>
          <w:rtl w:val="0"/>
        </w:rPr>
        <w:t xml:space="preserve">This absence is telling, as RESourceEU is the EU's most comprehensive post-CRMA response to the supply gap dilemma. Should the Norwegian moratorium have entered the strategic analysis of Western supply architects and planners, it would appear in that document; it did not.</w:t>
      </w:r>
      <w:r w:rsidDel="00000000" w:rsidR="00000000" w:rsidRPr="00000000">
        <w:rPr>
          <w:rtl w:val="0"/>
        </w:rPr>
      </w:r>
    </w:p>
    <w:p w:rsidR="00000000" w:rsidDel="00000000" w:rsidP="00000000" w:rsidRDefault="00000000" w:rsidRPr="00000000" w14:paraId="0000009D">
      <w:pPr>
        <w:rPr/>
      </w:pPr>
      <w:r w:rsidDel="00000000" w:rsidR="00000000" w:rsidRPr="00000000">
        <w:rPr>
          <w:rFonts w:ascii="Times New Roman" w:cs="Times New Roman" w:eastAsia="Times New Roman" w:hAnsi="Times New Roman"/>
          <w:b w:val="0"/>
          <w:bCs w:val="0"/>
          <w:i w:val="0"/>
          <w:iCs w:val="0"/>
          <w:sz w:val="24"/>
          <w:szCs w:val="24"/>
          <w:rtl w:val="0"/>
        </w:rPr>
        <w:t xml:space="preserve">The Partnership for Global Infrastructure and Investment (PGII) has committed $600 billion through 2027 but carries no meaningful European seabed or Arctic mineral infrastructure footprint. The EU Global Gateway has acted lethargically on mineral supply chain constraints. No Western government has publicly acknowledged that the Norwegian moratorium constitutes a supply chain planning dilemma requiring a policy response. RESourceEU does not treat it as such either.</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10</w:t>
      </w:r>
      <w:r w:rsidDel="00000000" w:rsidR="00000000" w:rsidRPr="00000000">
        <w:rPr>
          <w:rtl w:val="0"/>
        </w:rPr>
      </w:r>
    </w:p>
    <w:p w:rsidR="00000000" w:rsidDel="00000000" w:rsidP="00000000" w:rsidRDefault="00000000" w:rsidRPr="00000000" w14:paraId="0000009E">
      <w:pPr>
        <w:rPr/>
      </w:pPr>
      <w:r w:rsidDel="00000000" w:rsidR="00000000" w:rsidRPr="00000000">
        <w:rPr>
          <w:rFonts w:ascii="Times New Roman" w:cs="Times New Roman" w:eastAsia="Times New Roman" w:hAnsi="Times New Roman"/>
          <w:b w:val="0"/>
          <w:bCs w:val="0"/>
          <w:i w:val="0"/>
          <w:iCs w:val="0"/>
          <w:sz w:val="24"/>
          <w:szCs w:val="24"/>
          <w:rtl w:val="0"/>
        </w:rPr>
        <w:t xml:space="preserve">The record, once fully examined, reveals a pattern rather than a series of assumptions and leapt-to conclusions. The European Court of Auditors' April 2026 special report</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5</w:t>
      </w:r>
      <w:r w:rsidDel="00000000" w:rsidR="00000000" w:rsidRPr="00000000">
        <w:rPr>
          <w:rFonts w:ascii="Times New Roman" w:cs="Times New Roman" w:eastAsia="Times New Roman" w:hAnsi="Times New Roman"/>
          <w:b w:val="0"/>
          <w:bCs w:val="0"/>
          <w:i w:val="0"/>
          <w:iCs w:val="0"/>
          <w:sz w:val="24"/>
          <w:szCs w:val="24"/>
          <w:rtl w:val="0"/>
        </w:rPr>
        <w:t xml:space="preserve"> catalogues why the CRMA's domestic-extraction target is unlikely to be met; it does not name the Norwegian moratorium as a contributing cause, despite auditing the same benchmark period the moratorium now constrains. RESourceEU, published after the moratorium took effect, allocates joint purchasing mechanisms and project financing to close the shortfall the auditors identified; it does not mention Norway, seabed minerals, or Arctic governance anywhere in its text. The EU Global Gateway and the U.S.-led PGII direct hundreds of billions of dollars toward mineral infrastructure in Africa, Latin America, and Asia; neither includes a Northern European or Arctic seabed component, and neither treats the Norwegian reversal as a variable worth tracking. These documents reflect three different mandates; however, they are all blind to the same region. A policy strategy which continually rewrites its financing tools without altering the fundamental supply underneath is not adapting to the moratorium, but rather proceeding as though it does not affect the very policy it was designed to enlighten.</w:t>
      </w:r>
      <w:r w:rsidDel="00000000" w:rsidR="00000000" w:rsidRPr="00000000">
        <w:rPr>
          <w:rtl w:val="0"/>
        </w:rPr>
      </w:r>
    </w:p>
    <w:p w:rsidR="00000000" w:rsidDel="00000000" w:rsidP="00000000" w:rsidRDefault="00000000" w:rsidRPr="00000000" w14:paraId="0000009F">
      <w:pPr>
        <w:rPr/>
      </w:pPr>
      <w:r w:rsidDel="00000000" w:rsidR="00000000" w:rsidRPr="00000000">
        <w:rPr>
          <w:rFonts w:ascii="Times New Roman" w:cs="Times New Roman" w:eastAsia="Times New Roman" w:hAnsi="Times New Roman"/>
          <w:b w:val="0"/>
          <w:bCs w:val="0"/>
          <w:i w:val="0"/>
          <w:iCs w:val="0"/>
          <w:sz w:val="24"/>
          <w:szCs w:val="24"/>
          <w:rtl w:val="0"/>
        </w:rPr>
        <w:t xml:space="preserve">Norway's moratorium is a defensible environmental decision: the Norwegian parliament weighed biodiversity risk against economic opportunity and chose to hold back on mining. That judgment is within sovereign competence and is not this article's subject. What the subject is, however, is the supply chain consequence that Western policy planning has not yet accounted for. The CRMA's 2030 targets were written with a certain supply map in mind; that map has since changed. This alteration to the tapestry of geopolitics did not come through international disruption, Chinese export controls, or supply chain weaponization; rather, it was made threadbare by the careful hands in Oslo through budget negotiation between parties whose primary concerns were domestic. International policy, shaped by domestic politics, resulted in unnecessary scarcity. This strategic exposure presents a real vulnerability regardless of its origin being classically political.</w:t>
      </w:r>
      <w:r w:rsidDel="00000000" w:rsidR="00000000" w:rsidRPr="00000000">
        <w:rPr>
          <w:rtl w:val="0"/>
        </w:rPr>
      </w:r>
    </w:p>
    <w:p w:rsidR="00000000" w:rsidDel="00000000" w:rsidP="00000000" w:rsidRDefault="00000000" w:rsidRPr="00000000" w14:paraId="000000A0">
      <w:pPr>
        <w:rPr/>
      </w:pPr>
      <w:r w:rsidDel="00000000" w:rsidR="00000000" w:rsidRPr="00000000">
        <w:rPr>
          <w:rFonts w:ascii="Times New Roman" w:cs="Times New Roman" w:eastAsia="Times New Roman" w:hAnsi="Times New Roman"/>
          <w:b w:val="0"/>
          <w:bCs w:val="0"/>
          <w:i w:val="0"/>
          <w:iCs w:val="0"/>
          <w:sz w:val="24"/>
          <w:szCs w:val="24"/>
          <w:rtl w:val="0"/>
        </w:rPr>
        <w:t xml:space="preserve">A 2029 Norwegian resumption, the stated parliamentary benchmark, still leaves less than twelve months of potential licensing activity before the CRMA's primary 2030 deadline. Licensing in 2029 does not produce extraction in 2029, however. The realistic policy response is not to reverse the Norwegian moratorium but rather to acknowledge that the CRMA's targets require either revised timelines, accelerated alternative supply commitments, or both. The first step is, as always, acknowledging that the flaw exists in the plan.</w:t>
      </w:r>
      <w:r w:rsidDel="00000000" w:rsidR="00000000" w:rsidRPr="00000000">
        <w:rPr>
          <w:rtl w:val="0"/>
        </w:rPr>
      </w:r>
    </w:p>
    <w:p w:rsidR="00000000" w:rsidDel="00000000" w:rsidP="00000000" w:rsidRDefault="00000000" w:rsidRPr="00000000" w14:paraId="000000A1">
      <w:pPr>
        <w:rPr/>
      </w:pPr>
      <w:r w:rsidDel="00000000" w:rsidR="00000000" w:rsidRPr="00000000">
        <w:rPr>
          <w:rFonts w:ascii="Times New Roman" w:cs="Times New Roman" w:eastAsia="Times New Roman" w:hAnsi="Times New Roman"/>
          <w:b w:val="0"/>
          <w:bCs w:val="0"/>
          <w:i w:val="0"/>
          <w:iCs w:val="0"/>
          <w:sz w:val="24"/>
          <w:szCs w:val="24"/>
          <w:rtl w:val="0"/>
        </w:rPr>
        <w:t xml:space="preserve">Crystalize the four preceding sections- the notions they posit- and the conclusion arises in their cohesion, not in any assumption. The moratorium will outlast the CRMA’s planning window, while the CRMA targets themselves were plausible only through the Norwegian seabed capacity in consideration; there lies no viable substitute for the Norwegian seabed before 2030, and finally, no EU or allied policy has revised these assumptions to reflect the innate shortfall this creates. Therefore, the CRMA contains an unacknowledged implementation gap: a target that was plausible in 2024 is no longer plausible in 2026, and no Western institution has yet said so in writing. The recommendations below treat that gap not as a reason to reverse Norway's decision, but as a reason to revise the plan that was built without it.</w:t>
      </w:r>
      <w:r w:rsidDel="00000000" w:rsidR="00000000" w:rsidRPr="00000000">
        <w:rPr>
          <w:rtl w:val="0"/>
        </w:rPr>
      </w:r>
    </w:p>
    <w:p w:rsidR="00000000" w:rsidDel="00000000" w:rsidP="00000000" w:rsidRDefault="00000000" w:rsidRPr="00000000" w14:paraId="000000A2">
      <w:pPr>
        <w:rPr/>
      </w:pPr>
      <w:r w:rsidDel="00000000" w:rsidR="00000000" w:rsidRPr="00000000">
        <w:rPr>
          <w:rFonts w:ascii="Times New Roman" w:cs="Times New Roman" w:eastAsia="Times New Roman" w:hAnsi="Times New Roman"/>
          <w:b w:val="0"/>
          <w:bCs w:val="0"/>
          <w:i w:val="0"/>
          <w:iCs w:val="0"/>
          <w:sz w:val="24"/>
          <w:szCs w:val="24"/>
          <w:rtl w:val="0"/>
        </w:rPr>
        <w:t xml:space="preserve">Primarily, the European Commission should commission a formal audit of CRMA supply feasibility assumptions that explicitly models the Norwegian moratorium as a minimum four-year absence from the European seabed supply window. This revised gap analysis should be published and accordingly incorporated into the Critical Raw Materials Board's monitoring framework.</w:t>
      </w:r>
      <w:r w:rsidDel="00000000" w:rsidR="00000000" w:rsidRPr="00000000">
        <w:rPr>
          <w:rtl w:val="0"/>
        </w:rPr>
      </w:r>
    </w:p>
    <w:p w:rsidR="00000000" w:rsidDel="00000000" w:rsidP="00000000" w:rsidRDefault="00000000" w:rsidRPr="00000000" w14:paraId="000000A3">
      <w:pPr>
        <w:rPr/>
      </w:pPr>
      <w:r w:rsidDel="00000000" w:rsidR="00000000" w:rsidRPr="00000000">
        <w:rPr>
          <w:rFonts w:ascii="Times New Roman" w:cs="Times New Roman" w:eastAsia="Times New Roman" w:hAnsi="Times New Roman"/>
          <w:b w:val="0"/>
          <w:bCs w:val="0"/>
          <w:i w:val="0"/>
          <w:iCs w:val="0"/>
          <w:sz w:val="24"/>
          <w:szCs w:val="24"/>
          <w:rtl w:val="0"/>
        </w:rPr>
        <w:t xml:space="preserve">Additionally, Arctic seabed governance, including the Norwegian moratorium status, ISA licensing developments, as well as the Greenland extraction timeline, should be designated as a tracked variable within EU and North Atlantic Treaty Organization (NATO) critical mineral security assessments. This requires no new legislation; it simply requires a decision to include seabed governance data in existing monitoring frameworks.</w:t>
      </w:r>
      <w:r w:rsidDel="00000000" w:rsidR="00000000" w:rsidRPr="00000000">
        <w:rPr>
          <w:rtl w:val="0"/>
        </w:rPr>
      </w:r>
    </w:p>
    <w:p w:rsidR="00000000" w:rsidDel="00000000" w:rsidP="00000000" w:rsidRDefault="00000000" w:rsidRPr="00000000" w14:paraId="000000A4">
      <w:pPr>
        <w:rPr/>
      </w:pPr>
      <w:r w:rsidDel="00000000" w:rsidR="00000000" w:rsidRPr="00000000">
        <w:rPr>
          <w:rFonts w:ascii="Times New Roman" w:cs="Times New Roman" w:eastAsia="Times New Roman" w:hAnsi="Times New Roman"/>
          <w:b w:val="0"/>
          <w:bCs w:val="0"/>
          <w:i w:val="0"/>
          <w:iCs w:val="0"/>
          <w:sz w:val="24"/>
          <w:szCs w:val="24"/>
          <w:rtl w:val="0"/>
        </w:rPr>
        <w:t xml:space="preserve">Furthermore, a dedicated financing vehicle within the Partnership for Global Infrastructure and Investment (PGII) or EU Global Gateway frameworks should be developed with the explicit capacity to accelerate Greenland rare earth and Scandinavian terrestrial critical mineral projects on a timeline compatible with CRMA 2030 targets. The $120 million U.S. Export-Import Bank letter of interest in the Tanbreez project provides a model for the scale and structure of commitment required.</w:t>
      </w:r>
      <w:r w:rsidDel="00000000" w:rsidR="00000000" w:rsidRPr="00000000">
        <w:rPr>
          <w:rtl w:val="0"/>
        </w:rPr>
      </w:r>
    </w:p>
    <w:p w:rsidR="00000000" w:rsidDel="00000000" w:rsidP="00000000" w:rsidRDefault="00000000" w:rsidRPr="00000000" w14:paraId="000000A5">
      <w:pPr>
        <w:rPr/>
      </w:pPr>
      <w:r w:rsidDel="00000000" w:rsidR="00000000" w:rsidRPr="00000000">
        <w:rPr>
          <w:rFonts w:ascii="Times New Roman" w:cs="Times New Roman" w:eastAsia="Times New Roman" w:hAnsi="Times New Roman"/>
          <w:b w:val="0"/>
          <w:bCs w:val="0"/>
          <w:i w:val="0"/>
          <w:iCs w:val="0"/>
          <w:sz w:val="24"/>
          <w:szCs w:val="24"/>
          <w:rtl w:val="0"/>
        </w:rPr>
        <w:t xml:space="preserve">Lastly, the Norwegian moratorium should be incorporated into existing EU assessments of European strategic autonomy in critical mineral supply, particularly as it affects battery material and clean energy technological supply chains. The moratorium is a data point that Western strategic autonomy analysis presently fails to see, resting right beneath current analyses, under white caps and currents.</w:t>
      </w:r>
      <w:r w:rsidDel="00000000" w:rsidR="00000000" w:rsidRPr="00000000">
        <w:rPr>
          <w:rtl w:val="0"/>
        </w:rPr>
      </w:r>
    </w:p>
    <w:p w:rsidR="00000000" w:rsidDel="00000000" w:rsidP="00000000" w:rsidRDefault="00000000" w:rsidRPr="00000000" w14:paraId="000000A6">
      <w:pPr>
        <w:rPr/>
      </w:pPr>
      <w:r w:rsidDel="00000000" w:rsidR="00000000" w:rsidRPr="00000000">
        <w:br w:type="page"/>
      </w:r>
      <w:r w:rsidDel="00000000" w:rsidR="00000000" w:rsidRPr="00000000">
        <w:rPr>
          <w:rtl w:val="0"/>
        </w:rPr>
      </w:r>
    </w:p>
    <w:p w:rsidR="00000000" w:rsidDel="00000000" w:rsidP="00000000" w:rsidRDefault="00000000" w:rsidRPr="00000000" w14:paraId="000000A7">
      <w:pPr>
        <w:pStyle w:val="Heading1"/>
        <w:pBdr>
          <w:bottom w:color="1b3a5c" w:space="4" w:sz="6" w:val="single"/>
        </w:pBdr>
        <w:spacing w:after="200" w:before="300" w:line="276" w:lineRule="auto"/>
        <w:rPr/>
      </w:pPr>
      <w:r w:rsidDel="00000000" w:rsidR="00000000" w:rsidRPr="00000000">
        <w:rPr>
          <w:b w:val="1"/>
          <w:bCs w:val="1"/>
          <w:sz w:val="30"/>
          <w:szCs w:val="30"/>
          <w:rtl w:val="0"/>
        </w:rPr>
        <w:t xml:space="preserve">Mineral Laundering &amp; Militias: </w:t>
      </w:r>
      <w:r w:rsidDel="00000000" w:rsidR="00000000" w:rsidRPr="00000000">
        <w:rPr>
          <w:rFonts w:ascii="Times New Roman" w:cs="Times New Roman" w:eastAsia="Times New Roman" w:hAnsi="Times New Roman"/>
          <w:b w:val="1"/>
          <w:bCs w:val="1"/>
          <w:i w:val="0"/>
          <w:iCs w:val="0"/>
          <w:sz w:val="30"/>
          <w:szCs w:val="30"/>
          <w:rtl w:val="0"/>
        </w:rPr>
        <w:t xml:space="preserve">Tracing Beneficial Ownership Behind Critical Mineral Transactions</w:t>
      </w:r>
      <w:r w:rsidDel="00000000" w:rsidR="00000000" w:rsidRPr="00000000">
        <w:rPr>
          <w:rtl w:val="0"/>
        </w:rPr>
      </w:r>
    </w:p>
    <w:p w:rsidR="00000000" w:rsidDel="00000000" w:rsidP="00000000" w:rsidRDefault="00000000" w:rsidRPr="00000000" w14:paraId="000000A8">
      <w:pPr>
        <w:rPr/>
      </w:pPr>
      <w:r w:rsidDel="00000000" w:rsidR="00000000" w:rsidRPr="00000000">
        <w:rPr>
          <w:rFonts w:ascii="Times New Roman" w:cs="Times New Roman" w:eastAsia="Times New Roman" w:hAnsi="Times New Roman"/>
          <w:b w:val="0"/>
          <w:bCs w:val="0"/>
          <w:i w:val="1"/>
          <w:iCs w:val="1"/>
          <w:sz w:val="24"/>
          <w:szCs w:val="24"/>
          <w:rtl w:val="0"/>
        </w:rPr>
        <w:t xml:space="preserve">Alexander Bagnull, J.</w:t>
      </w:r>
      <w:r w:rsidDel="00000000" w:rsidR="00000000" w:rsidRPr="00000000">
        <w:rPr>
          <w:i w:val="1"/>
          <w:iCs w:val="1"/>
          <w:sz w:val="24"/>
          <w:szCs w:val="24"/>
          <w:rtl w:val="0"/>
        </w:rPr>
        <w:t xml:space="preserve">M. Lindstrom </w:t>
      </w:r>
      <w:r w:rsidDel="00000000" w:rsidR="00000000" w:rsidRPr="00000000">
        <w:rPr>
          <w:rtl w:val="0"/>
        </w:rPr>
      </w:r>
    </w:p>
    <w:p w:rsidR="00000000" w:rsidDel="00000000" w:rsidP="00000000" w:rsidRDefault="00000000" w:rsidRPr="00000000" w14:paraId="000000A9">
      <w:pPr>
        <w:rPr/>
      </w:pPr>
      <w:r w:rsidDel="00000000" w:rsidR="00000000" w:rsidRPr="00000000">
        <w:rPr>
          <w:rFonts w:ascii="Times New Roman" w:cs="Times New Roman" w:eastAsia="Times New Roman" w:hAnsi="Times New Roman"/>
          <w:b w:val="0"/>
          <w:bCs w:val="0"/>
          <w:i w:val="0"/>
          <w:iCs w:val="0"/>
          <w:sz w:val="24"/>
          <w:szCs w:val="24"/>
          <w:rtl w:val="0"/>
        </w:rPr>
        <w:t xml:space="preserve">With the anticipated increase in demand for critical minerals to enable energy and digital transition, governments are increasingly turning to government-to-government (G2G) deals and partnership frameworks to diversify supply chains and secure access to critical raw materials. One of which is the United States government, which has signed at least 20 bilateral frameworks, memoranda of understanding (MOUs) and resource-backed financing agreements to secure access to critical minerals since January 2025.</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1</w:t>
      </w:r>
      <w:r w:rsidDel="00000000" w:rsidR="00000000" w:rsidRPr="00000000">
        <w:rPr>
          <w:rtl w:val="0"/>
        </w:rPr>
      </w:r>
    </w:p>
    <w:p w:rsidR="00000000" w:rsidDel="00000000" w:rsidP="00000000" w:rsidRDefault="00000000" w:rsidRPr="00000000" w14:paraId="000000AA">
      <w:pPr>
        <w:rPr/>
      </w:pPr>
      <w:r w:rsidDel="00000000" w:rsidR="00000000" w:rsidRPr="00000000">
        <w:rPr>
          <w:rFonts w:ascii="Times New Roman" w:cs="Times New Roman" w:eastAsia="Times New Roman" w:hAnsi="Times New Roman"/>
          <w:b w:val="0"/>
          <w:bCs w:val="0"/>
          <w:i w:val="0"/>
          <w:iCs w:val="0"/>
          <w:sz w:val="24"/>
          <w:szCs w:val="24"/>
          <w:rtl w:val="0"/>
        </w:rPr>
        <w:t xml:space="preserve">From April 2025 the US-Ukraine Reconstruction Investment Fund agreement covered lithium, titanium and other rare earths,</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2</w:t>
      </w:r>
      <w:r w:rsidDel="00000000" w:rsidR="00000000" w:rsidRPr="00000000">
        <w:rPr>
          <w:rFonts w:ascii="Times New Roman" w:cs="Times New Roman" w:eastAsia="Times New Roman" w:hAnsi="Times New Roman"/>
          <w:b w:val="0"/>
          <w:bCs w:val="0"/>
          <w:i w:val="0"/>
          <w:iCs w:val="0"/>
          <w:sz w:val="24"/>
          <w:szCs w:val="24"/>
          <w:rtl w:val="0"/>
        </w:rPr>
        <w:t xml:space="preserve"> then December 2025 Strategic Partnership Agreement with the Democratic Republic of the Congo;</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3</w:t>
      </w:r>
      <w:r w:rsidDel="00000000" w:rsidR="00000000" w:rsidRPr="00000000">
        <w:rPr>
          <w:rFonts w:ascii="Times New Roman" w:cs="Times New Roman" w:eastAsia="Times New Roman" w:hAnsi="Times New Roman"/>
          <w:b w:val="0"/>
          <w:bCs w:val="0"/>
          <w:i w:val="0"/>
          <w:iCs w:val="0"/>
          <w:sz w:val="24"/>
          <w:szCs w:val="24"/>
          <w:rtl w:val="0"/>
        </w:rPr>
        <w:t xml:space="preserve"> a May 2025 Memorandum of Cooperation with Saudi Arabia on uranium, permanent magnets and general metals,</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4</w:t>
      </w:r>
      <w:r w:rsidDel="00000000" w:rsidR="00000000" w:rsidRPr="00000000">
        <w:rPr>
          <w:rFonts w:ascii="Times New Roman" w:cs="Times New Roman" w:eastAsia="Times New Roman" w:hAnsi="Times New Roman"/>
          <w:b w:val="0"/>
          <w:bCs w:val="0"/>
          <w:i w:val="0"/>
          <w:iCs w:val="0"/>
          <w:sz w:val="24"/>
          <w:szCs w:val="24"/>
          <w:rtl w:val="0"/>
        </w:rPr>
        <w:t xml:space="preserve"> as well as an additional ten MOUs signed at the February 2026 Critical Minerals Ministerial with countries from Guinea, Morocco, Peru, Uzbekistan and the Philippines.</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5</w:t>
      </w:r>
      <w:r w:rsidDel="00000000" w:rsidR="00000000" w:rsidRPr="00000000">
        <w:rPr>
          <w:rFonts w:ascii="Times New Roman" w:cs="Times New Roman" w:eastAsia="Times New Roman" w:hAnsi="Times New Roman"/>
          <w:b w:val="0"/>
          <w:bCs w:val="0"/>
          <w:i w:val="0"/>
          <w:iCs w:val="0"/>
          <w:sz w:val="24"/>
          <w:szCs w:val="24"/>
          <w:rtl w:val="0"/>
        </w:rPr>
        <w:t xml:space="preserve"> On August 20th, 2026, the government also signed a policy under the US Department of Energy to subsidize $500 million for secure critical minerals for US policy and security.</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6</w:t>
      </w:r>
      <w:r w:rsidDel="00000000" w:rsidR="00000000" w:rsidRPr="00000000">
        <w:rPr>
          <w:rtl w:val="0"/>
        </w:rPr>
      </w:r>
    </w:p>
    <w:p w:rsidR="00000000" w:rsidDel="00000000" w:rsidP="00000000" w:rsidRDefault="00000000" w:rsidRPr="00000000" w14:paraId="000000AB">
      <w:pPr>
        <w:rPr/>
      </w:pPr>
      <w:r w:rsidDel="00000000" w:rsidR="00000000" w:rsidRPr="00000000">
        <w:rPr>
          <w:rFonts w:ascii="Times New Roman" w:cs="Times New Roman" w:eastAsia="Times New Roman" w:hAnsi="Times New Roman"/>
          <w:b w:val="0"/>
          <w:bCs w:val="0"/>
          <w:i w:val="0"/>
          <w:iCs w:val="0"/>
          <w:sz w:val="24"/>
          <w:szCs w:val="24"/>
          <w:rtl w:val="0"/>
        </w:rPr>
        <w:t xml:space="preserve">Governments of resource-rich countries are also responsible for granting licenses, contracts, concessions and other agreements for the exploration and exploitation of minerals. A single jurisdiction may have several types of licenses and contracts for mining that it grants to companies. These typically include fiscal terms and social and environmental commitments, including provisions for local content, duration, and terms for decommissioning. While this briefing focuses on oil, gas and mineral resources, it should be noted that jurisdictions may adopt similar licensing processes for a range of sectors whose governance has relevance to the energy transition and natural resource management more broadly. Examples of them include forestry and fisheries as well as renewables infrastructure, such as the construction of wind farms. The real owners of extractive companies and projects related to G2G deals, known as the beneficial owners, are often kept anonymous or hidden from public view by a chain of shell companies.</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7</w:t>
      </w:r>
      <w:r w:rsidDel="00000000" w:rsidR="00000000" w:rsidRPr="00000000">
        <w:rPr>
          <w:rFonts w:ascii="Times New Roman" w:cs="Times New Roman" w:eastAsia="Times New Roman" w:hAnsi="Times New Roman"/>
          <w:b w:val="0"/>
          <w:bCs w:val="0"/>
          <w:i w:val="0"/>
          <w:iCs w:val="0"/>
          <w:sz w:val="24"/>
          <w:szCs w:val="24"/>
          <w:rtl w:val="0"/>
        </w:rPr>
        <w:t xml:space="preserve"> This can be a particular challenge in the extractive industries, where knowing who has the rights to extract oil, gas and minerals is key to addressing risks of corruption or conflict of interest.</w:t>
      </w:r>
      <w:r w:rsidDel="00000000" w:rsidR="00000000" w:rsidRPr="00000000">
        <w:rPr>
          <w:rtl w:val="0"/>
        </w:rPr>
      </w:r>
    </w:p>
    <w:p w:rsidR="00000000" w:rsidDel="00000000" w:rsidP="00000000" w:rsidRDefault="00000000" w:rsidRPr="00000000" w14:paraId="000000AC">
      <w:pPr>
        <w:rPr/>
      </w:pPr>
      <w:r w:rsidDel="00000000" w:rsidR="00000000" w:rsidRPr="00000000">
        <w:rPr>
          <w:rFonts w:ascii="Times New Roman" w:cs="Times New Roman" w:eastAsia="Times New Roman" w:hAnsi="Times New Roman"/>
          <w:b w:val="0"/>
          <w:bCs w:val="0"/>
          <w:i w:val="0"/>
          <w:iCs w:val="0"/>
          <w:sz w:val="24"/>
          <w:szCs w:val="24"/>
          <w:rtl w:val="0"/>
        </w:rPr>
        <w:t xml:space="preserve">The trend of entering security deals in exchange for access to minerals may be treated as matters of national security that could involve exemptions in international trade or investment frameworks, limiting disclosure or oversight. These could raise concerns over the types of investors engaged in deals financed by defense departments. Concealed ownership often exposes entities to severe anti-money laundering (AML) and sanctions compliance risks. Thorough ownership analysis requires cross-checking identified names against global lists of Politically Exposed Persons (PEPs), beneficial ownership screening tools, and watchlists to ensure the supply chain remains free of corruption and legally compliant.</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8</w:t>
      </w:r>
      <w:r w:rsidDel="00000000" w:rsidR="00000000" w:rsidRPr="00000000">
        <w:rPr>
          <w:rtl w:val="0"/>
        </w:rPr>
      </w:r>
    </w:p>
    <w:p w:rsidR="00000000" w:rsidDel="00000000" w:rsidP="00000000" w:rsidRDefault="00000000" w:rsidRPr="00000000" w14:paraId="000000AD">
      <w:pPr>
        <w:rPr/>
      </w:pPr>
      <w:r w:rsidDel="00000000" w:rsidR="00000000" w:rsidRPr="00000000">
        <w:rPr>
          <w:rFonts w:ascii="Times New Roman" w:cs="Times New Roman" w:eastAsia="Times New Roman" w:hAnsi="Times New Roman"/>
          <w:b w:val="0"/>
          <w:bCs w:val="0"/>
          <w:i w:val="0"/>
          <w:iCs w:val="0"/>
          <w:sz w:val="24"/>
          <w:szCs w:val="24"/>
          <w:rtl w:val="0"/>
        </w:rPr>
        <w:t xml:space="preserve">The 20 deals aforementioned mark where risk holds within the system itself, however, not from external pressures. In June and December of 2025 the US brokered the Washington Accords for Peace and Prosperity between the DRC and Rwanda, as well as a US-DRC Strategic Partnership Agreement, granting American corporations influence and preferential access to Congolese cobalt, copper and lithium;</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9</w:t>
      </w:r>
      <w:r w:rsidDel="00000000" w:rsidR="00000000" w:rsidRPr="00000000">
        <w:rPr>
          <w:rFonts w:ascii="Times New Roman" w:cs="Times New Roman" w:eastAsia="Times New Roman" w:hAnsi="Times New Roman"/>
          <w:b w:val="0"/>
          <w:bCs w:val="0"/>
          <w:i w:val="0"/>
          <w:iCs w:val="0"/>
          <w:sz w:val="24"/>
          <w:szCs w:val="24"/>
          <w:rtl w:val="0"/>
        </w:rPr>
        <w:t xml:space="preserve"> something long desired by US corporations to compete with the expansive Chinese influence in the DRC. Such a partnership was stated under the agreement of Regional Economic Integration; traceable, transparent and entirely legal and positive forms of extraction. The methods and origins of metals all ethically sourced, a defiant strike the DRC has been working toward for some time in an attempt to establish a more legitimate and credible system of extraction. Chinese infrastructure in the region has continued without regard to such policies, however such an agreement marks a direct development in this common goal of US expansion into the DRC's mines to contest China and the DRC's desire to expand in an ethical, responsible way. Rwanda by contrast has seen an export explosion of roughly 370% between 2017 and 2024, from $373 million to $1.75 billion,</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10</w:t>
      </w:r>
      <w:r w:rsidDel="00000000" w:rsidR="00000000" w:rsidRPr="00000000">
        <w:rPr>
          <w:rFonts w:ascii="Times New Roman" w:cs="Times New Roman" w:eastAsia="Times New Roman" w:hAnsi="Times New Roman"/>
          <w:b w:val="0"/>
          <w:bCs w:val="0"/>
          <w:i w:val="0"/>
          <w:iCs w:val="0"/>
          <w:sz w:val="24"/>
          <w:szCs w:val="24"/>
          <w:rtl w:val="0"/>
        </w:rPr>
        <w:t xml:space="preserve"> largely as a result of Congolese-origin material relabeled as Rwandan on export.</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11</w:t>
      </w:r>
      <w:r w:rsidDel="00000000" w:rsidR="00000000" w:rsidRPr="00000000">
        <w:rPr>
          <w:rFonts w:ascii="Times New Roman" w:cs="Times New Roman" w:eastAsia="Times New Roman" w:hAnsi="Times New Roman"/>
          <w:b w:val="0"/>
          <w:bCs w:val="0"/>
          <w:i w:val="0"/>
          <w:iCs w:val="0"/>
          <w:sz w:val="24"/>
          <w:szCs w:val="24"/>
          <w:rtl w:val="0"/>
        </w:rPr>
        <w:t xml:space="preserve"> The supply chain reaches up to advanced weaponry and technology such as microchips and radar, and down to the extraction in mines; as such, to control one end or another is to take the greatest leverage and profit. China acts as an intermediary through its power over processing. However, the contention in central Africa is still rooted in the extraction process. June 2026 saw the US Treasury's Office of Foreign Assets Control sanction the Gasabo Gold Refinery Ltd, as well as its chairman Jean Malic Kalima, and three other Rwandan mining companies, as a result of laundering critical minerals out of the DRC and smuggling them into Rwanda by the M23 militia.</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12</w:t>
      </w:r>
      <w:r w:rsidDel="00000000" w:rsidR="00000000" w:rsidRPr="00000000">
        <w:rPr>
          <w:rFonts w:ascii="Times New Roman" w:cs="Times New Roman" w:eastAsia="Times New Roman" w:hAnsi="Times New Roman"/>
          <w:b w:val="0"/>
          <w:bCs w:val="0"/>
          <w:i w:val="0"/>
          <w:iCs w:val="0"/>
          <w:sz w:val="24"/>
          <w:szCs w:val="24"/>
          <w:rtl w:val="0"/>
        </w:rPr>
        <w:t xml:space="preserve"> In February 2025 the Treasury had already sanctioned James Kabarebe for coordinating such smuggling operations and managing the revenue of the sold DRC minerals on M23's behalf.</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13</w:t>
      </w:r>
      <w:r w:rsidDel="00000000" w:rsidR="00000000" w:rsidRPr="00000000">
        <w:rPr>
          <w:rFonts w:ascii="Times New Roman" w:cs="Times New Roman" w:eastAsia="Times New Roman" w:hAnsi="Times New Roman"/>
          <w:b w:val="0"/>
          <w:bCs w:val="0"/>
          <w:i w:val="0"/>
          <w:iCs w:val="0"/>
          <w:sz w:val="24"/>
          <w:szCs w:val="24"/>
          <w:rtl w:val="0"/>
        </w:rPr>
        <w:t xml:space="preserve"> Kabarebe has held the post of Rwanda's Minister of State for Regional Integration since before the February 2025 sanctions, and used that position to manage the resource-laundering network the December 2025 Accords later formalized market access around.</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14</w:t>
      </w:r>
      <w:r w:rsidDel="00000000" w:rsidR="00000000" w:rsidRPr="00000000">
        <w:rPr>
          <w:rtl w:val="0"/>
        </w:rPr>
      </w:r>
    </w:p>
    <w:p w:rsidR="00000000" w:rsidDel="00000000" w:rsidP="00000000" w:rsidRDefault="00000000" w:rsidRPr="00000000" w14:paraId="000000AE">
      <w:pPr>
        <w:rPr/>
      </w:pPr>
      <w:r w:rsidDel="00000000" w:rsidR="00000000" w:rsidRPr="00000000">
        <w:rPr>
          <w:rFonts w:ascii="Times New Roman" w:cs="Times New Roman" w:eastAsia="Times New Roman" w:hAnsi="Times New Roman"/>
          <w:b w:val="0"/>
          <w:bCs w:val="0"/>
          <w:i w:val="0"/>
          <w:iCs w:val="0"/>
          <w:sz w:val="24"/>
          <w:szCs w:val="24"/>
          <w:rtl w:val="0"/>
        </w:rPr>
        <w:t xml:space="preserve">Such a policy has a clear cause and effect, then: a government scaffolding is being established upon an already-revealed laundering process. Government sanctioning and policy sit atop a system of smuggling and exporting under false pretenses by a Rwandan militia to sponsor that very militia. It is a lucrative business and one which supports itself cyclically. The US sanctions provided some pressure, but nonetheless the value of the resources leads only to export by other nations who do not abide by such sanctions; China, for example, does not suffer from such sanctions and is able to purchase resources which are not otherwise internationally sold. Bluntly said, China benefits by gaining discounted resources the US is unable to attain. China does not formally enforce or police unilateral United States sanctions, as Beijing views such American measures as illegitimate under international law. However, Chinese state interests regarding conflict minerals smuggled from the Democratic Republic of the Congo through Rwanda involve a complex diplomatic and economic balancing act rather than outright defiance. China firstly rejects the Western sanctions as an overreach internationally, as well as implementing its own legal frameworks to order domestic entities to ignore certain US sanctions on mineral trade. Lastly, China does not actively cooperate with or implement U.S. Treasury (OFAC) designations aimed at regional supply chains or foreign entities unless mandated by the United Nations Security Council.</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15</w:t>
      </w:r>
      <w:r w:rsidDel="00000000" w:rsidR="00000000" w:rsidRPr="00000000">
        <w:rPr>
          <w:rtl w:val="0"/>
        </w:rPr>
      </w:r>
    </w:p>
    <w:p w:rsidR="00000000" w:rsidDel="00000000" w:rsidP="00000000" w:rsidRDefault="00000000" w:rsidRPr="00000000" w14:paraId="000000AF">
      <w:pPr>
        <w:rPr/>
      </w:pPr>
      <w:r w:rsidDel="00000000" w:rsidR="00000000" w:rsidRPr="00000000">
        <w:rPr>
          <w:rFonts w:ascii="Times New Roman" w:cs="Times New Roman" w:eastAsia="Times New Roman" w:hAnsi="Times New Roman"/>
          <w:b w:val="0"/>
          <w:bCs w:val="0"/>
          <w:i w:val="0"/>
          <w:iCs w:val="0"/>
          <w:sz w:val="24"/>
          <w:szCs w:val="24"/>
          <w:rtl w:val="0"/>
        </w:rPr>
        <w:t xml:space="preserve">The issue lies, therefore, not with the operators or corporate registered entities but instead with the beneficial ownership itself. The concealment mechanism is not a shell company that obfuscates the owner of the mine but instead the national export-certification system, which is meant to create transparency between exports and international ethical trade, to encourage compliance with sanctions, laws, and ethical sourcing standards. The origin of minerals and those who profit from their sale becomes inherently problematic due to the obscuring, not of corporations which can be sanctioned, but of entire nations which export smuggled goods. Plainly stated, a refinery can hold a clean legal title to gold under Rwandan law, all the while the underlying mineral and the revenue generated by its sale can be traced back to an armed militia under active US sanction. The legal owner of the exporting entity and the actual beneficiary of the value chain are two separate results of the same function, so no beneficial ownership registry can be confirmed on the refinery itself, because ownership was not the problematic point in the system.</w:t>
      </w:r>
      <w:r w:rsidDel="00000000" w:rsidR="00000000" w:rsidRPr="00000000">
        <w:rPr>
          <w:rtl w:val="0"/>
        </w:rPr>
      </w:r>
    </w:p>
    <w:p w:rsidR="00000000" w:rsidDel="00000000" w:rsidP="00000000" w:rsidRDefault="00000000" w:rsidRPr="00000000" w14:paraId="000000B0">
      <w:pPr>
        <w:rPr/>
      </w:pPr>
      <w:r w:rsidDel="00000000" w:rsidR="00000000" w:rsidRPr="00000000">
        <w:rPr>
          <w:rFonts w:ascii="Times New Roman" w:cs="Times New Roman" w:eastAsia="Times New Roman" w:hAnsi="Times New Roman"/>
          <w:b w:val="0"/>
          <w:bCs w:val="0"/>
          <w:i w:val="0"/>
          <w:iCs w:val="0"/>
          <w:sz w:val="24"/>
          <w:szCs w:val="24"/>
          <w:rtl w:val="0"/>
        </w:rPr>
        <w:t xml:space="preserve">This also raises concern regarding the national-security exemptions, as Human Rights Watch described the Accords as a "mineral deal first," as opposed to a treaty with the notion of resolution and peace.</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16</w:t>
      </w:r>
      <w:r w:rsidDel="00000000" w:rsidR="00000000" w:rsidRPr="00000000">
        <w:rPr>
          <w:rFonts w:ascii="Times New Roman" w:cs="Times New Roman" w:eastAsia="Times New Roman" w:hAnsi="Times New Roman"/>
          <w:b w:val="0"/>
          <w:bCs w:val="0"/>
          <w:i w:val="0"/>
          <w:iCs w:val="0"/>
          <w:sz w:val="24"/>
          <w:szCs w:val="24"/>
          <w:rtl w:val="0"/>
        </w:rPr>
        <w:t xml:space="preserve"> Rwanda's international role in resource laundering is formalized by the Accords in that they permit the export role of Rwanda to become a diplomatically endorsed role. Additionally, legal memos note that the agreements were negotiated with minimal congressional visibility into the ownership and revenue-sharing policies of the resource laundering. The US objective itself is not illegitimate, as it seeks to establish peace between combating nations in a volatile region, as well as aiding US national security in terms of mineral deals. Nonetheless, the actual execution of the Accords establishes a formal role for Rwanda's money laundering under little oversight. The Treasury and State Department present new sanctions to display that the transparency commitment is being enforced as promised, despite the fact that the notion of a "transparent, traceable supply chain" so internationally desired is muddied by the incorporation of resource laundering.</w:t>
      </w:r>
      <w:r w:rsidDel="00000000" w:rsidR="00000000" w:rsidRPr="00000000">
        <w:rPr>
          <w:rtl w:val="0"/>
        </w:rPr>
      </w:r>
    </w:p>
    <w:p w:rsidR="00000000" w:rsidDel="00000000" w:rsidP="00000000" w:rsidRDefault="00000000" w:rsidRPr="00000000" w14:paraId="000000B1">
      <w:pPr>
        <w:rPr/>
      </w:pPr>
      <w:r w:rsidDel="00000000" w:rsidR="00000000" w:rsidRPr="00000000">
        <w:rPr>
          <w:rFonts w:ascii="Times New Roman" w:cs="Times New Roman" w:eastAsia="Times New Roman" w:hAnsi="Times New Roman"/>
          <w:b w:val="0"/>
          <w:bCs w:val="0"/>
          <w:i w:val="0"/>
          <w:iCs w:val="0"/>
          <w:sz w:val="24"/>
          <w:szCs w:val="24"/>
          <w:rtl w:val="0"/>
        </w:rPr>
        <w:t xml:space="preserve">Put simply, because the resource laundering is permitted due to negotiations between interested parties in Rwanda and the DRC, the result is a system designed to be traceable but directly limited by the fact of resource laundering, which is protected by the very system meant to halt it. Chinese partners currently control 68% of Sicomines, the largest mining venture in the DRC, per resource-backed finance arrangements.</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17</w:t>
      </w:r>
      <w:r w:rsidDel="00000000" w:rsidR="00000000" w:rsidRPr="00000000">
        <w:rPr>
          <w:rFonts w:ascii="Times New Roman" w:cs="Times New Roman" w:eastAsia="Times New Roman" w:hAnsi="Times New Roman"/>
          <w:b w:val="0"/>
          <w:bCs w:val="0"/>
          <w:i w:val="0"/>
          <w:iCs w:val="0"/>
          <w:sz w:val="24"/>
          <w:szCs w:val="24"/>
          <w:rtl w:val="0"/>
        </w:rPr>
        <w:t xml:space="preserve"> The US model, however, meant to displace disproportionate Chinese influence, fails on account of the money laundering built into the system. If the US design does not truly contest Sicomines in terms of transparency, as it set out to, it will have replaced one problem of concealment with another.</w:t>
      </w:r>
      <w:r w:rsidDel="00000000" w:rsidR="00000000" w:rsidRPr="00000000">
        <w:rPr>
          <w:rtl w:val="0"/>
        </w:rPr>
      </w:r>
    </w:p>
    <w:p w:rsidR="00000000" w:rsidDel="00000000" w:rsidP="00000000" w:rsidRDefault="00000000" w:rsidRPr="00000000" w14:paraId="000000B2">
      <w:pPr>
        <w:rPr/>
      </w:pPr>
      <w:r w:rsidDel="00000000" w:rsidR="00000000" w:rsidRPr="00000000">
        <w:rPr>
          <w:rFonts w:ascii="Times New Roman" w:cs="Times New Roman" w:eastAsia="Times New Roman" w:hAnsi="Times New Roman"/>
          <w:b w:val="0"/>
          <w:bCs w:val="0"/>
          <w:i w:val="0"/>
          <w:iCs w:val="0"/>
          <w:sz w:val="24"/>
          <w:szCs w:val="24"/>
          <w:rtl w:val="0"/>
        </w:rPr>
        <w:t xml:space="preserve">In a simple order of operations, the US attempts to increase transparency in the DRC and resolve conflict with Rwanda through the Accords; the negotiations of the Accords, however, granted Rwanda a formal role in resource laundering per negotiations which lacked oversight. The result is a problem crystallized: despite US sanctions on the resource-laundering powers in Rwanda, the very system harms the transparency the Accords set out to create.</w:t>
      </w:r>
      <w:r w:rsidDel="00000000" w:rsidR="00000000" w:rsidRPr="00000000">
        <w:rPr>
          <w:rtl w:val="0"/>
        </w:rPr>
      </w:r>
    </w:p>
    <w:p w:rsidR="00000000" w:rsidDel="00000000" w:rsidP="00000000" w:rsidRDefault="00000000" w:rsidRPr="00000000" w14:paraId="000000B3">
      <w:pPr>
        <w:rPr/>
      </w:pPr>
      <w:r w:rsidDel="00000000" w:rsidR="00000000" w:rsidRPr="00000000">
        <w:rPr>
          <w:rFonts w:ascii="Times New Roman" w:cs="Times New Roman" w:eastAsia="Times New Roman" w:hAnsi="Times New Roman"/>
          <w:b w:val="0"/>
          <w:bCs w:val="0"/>
          <w:i w:val="0"/>
          <w:iCs w:val="0"/>
          <w:sz w:val="24"/>
          <w:szCs w:val="24"/>
          <w:rtl w:val="0"/>
        </w:rPr>
        <w:t xml:space="preserve">State-directed opacity is not incidental to how critical mineral supply chains are being built; rather, it serves as a recurring design in supply chains, with a variance in success. The role of transparency and traceability in the resources that are being used to build nations has risen as a key to critical</w:t>
      </w:r>
      <w:r w:rsidDel="00000000" w:rsidR="00000000" w:rsidRPr="00000000">
        <w:rPr>
          <w:rtl w:val="0"/>
        </w:rPr>
      </w:r>
    </w:p>
    <w:p w:rsidR="00000000" w:rsidDel="00000000" w:rsidP="00000000" w:rsidRDefault="00000000" w:rsidRPr="00000000" w14:paraId="000000B4">
      <w:pPr>
        <w:rPr/>
      </w:pPr>
      <w:r w:rsidDel="00000000" w:rsidR="00000000" w:rsidRPr="00000000">
        <w:rPr>
          <w:rFonts w:ascii="Times New Roman" w:cs="Times New Roman" w:eastAsia="Times New Roman" w:hAnsi="Times New Roman"/>
          <w:b w:val="0"/>
          <w:bCs w:val="0"/>
          <w:i w:val="0"/>
          <w:iCs w:val="0"/>
          <w:sz w:val="24"/>
          <w:szCs w:val="24"/>
          <w:rtl w:val="0"/>
        </w:rPr>
        <w:t xml:space="preserve">mineral international importance. Nonetheless, friction is ever-present in such a system, as is reflected in other articles in this volume, and such a pattern tells a story that incidents alone do not. The greater impact lies in where and how a resource is attained, surpassing simply the critical nature of it.</w:t>
      </w:r>
      <w:r w:rsidDel="00000000" w:rsidR="00000000" w:rsidRPr="00000000">
        <w:rPr>
          <w:rtl w:val="0"/>
        </w:rPr>
      </w:r>
    </w:p>
    <w:p w:rsidR="00000000" w:rsidDel="00000000" w:rsidP="00000000" w:rsidRDefault="00000000" w:rsidRPr="00000000" w14:paraId="000000B5">
      <w:pPr>
        <w:rPr/>
      </w:pPr>
      <w:r w:rsidDel="00000000" w:rsidR="00000000" w:rsidRPr="00000000">
        <w:br w:type="page"/>
      </w:r>
      <w:r w:rsidDel="00000000" w:rsidR="00000000" w:rsidRPr="00000000">
        <w:rPr>
          <w:rtl w:val="0"/>
        </w:rPr>
      </w:r>
    </w:p>
    <w:p w:rsidR="00000000" w:rsidDel="00000000" w:rsidP="00000000" w:rsidRDefault="00000000" w:rsidRPr="00000000" w14:paraId="000000B6">
      <w:pPr>
        <w:pStyle w:val="Heading1"/>
        <w:pBdr>
          <w:bottom w:color="1b3a5c" w:space="4" w:sz="6" w:val="single"/>
        </w:pBdr>
        <w:spacing w:after="200" w:before="300" w:line="276" w:lineRule="auto"/>
        <w:rPr/>
      </w:pPr>
      <w:r w:rsidDel="00000000" w:rsidR="00000000" w:rsidRPr="00000000">
        <w:rPr>
          <w:rFonts w:ascii="Times New Roman" w:cs="Times New Roman" w:eastAsia="Times New Roman" w:hAnsi="Times New Roman"/>
          <w:b w:val="1"/>
          <w:bCs w:val="1"/>
          <w:i w:val="0"/>
          <w:iCs w:val="0"/>
          <w:sz w:val="30"/>
          <w:szCs w:val="30"/>
          <w:rtl w:val="0"/>
        </w:rPr>
        <w:t xml:space="preserve">Indo-Pacific Positioning</w:t>
      </w:r>
      <w:r w:rsidDel="00000000" w:rsidR="00000000" w:rsidRPr="00000000">
        <w:rPr>
          <w:rtl w:val="0"/>
        </w:rPr>
      </w:r>
    </w:p>
    <w:p w:rsidR="00000000" w:rsidDel="00000000" w:rsidP="00000000" w:rsidRDefault="00000000" w:rsidRPr="00000000" w14:paraId="000000B7">
      <w:pPr>
        <w:rPr/>
      </w:pPr>
      <w:r w:rsidDel="00000000" w:rsidR="00000000" w:rsidRPr="00000000">
        <w:rPr>
          <w:i w:val="1"/>
          <w:iCs w:val="1"/>
          <w:sz w:val="24"/>
          <w:szCs w:val="24"/>
          <w:rtl w:val="0"/>
        </w:rPr>
        <w:t xml:space="preserve">Amahd </w:t>
      </w:r>
      <w:r w:rsidDel="00000000" w:rsidR="00000000" w:rsidRPr="00000000">
        <w:rPr>
          <w:rFonts w:ascii="Times New Roman" w:cs="Times New Roman" w:eastAsia="Times New Roman" w:hAnsi="Times New Roman"/>
          <w:b w:val="0"/>
          <w:bCs w:val="0"/>
          <w:i w:val="1"/>
          <w:iCs w:val="1"/>
          <w:sz w:val="24"/>
          <w:szCs w:val="24"/>
          <w:rtl w:val="0"/>
        </w:rPr>
        <w:t xml:space="preserve">Azzam, J.M. Lindstr</w:t>
      </w:r>
      <w:r w:rsidDel="00000000" w:rsidR="00000000" w:rsidRPr="00000000">
        <w:rPr>
          <w:i w:val="1"/>
          <w:iCs w:val="1"/>
          <w:sz w:val="24"/>
          <w:szCs w:val="24"/>
          <w:rtl w:val="0"/>
        </w:rPr>
        <w:t xml:space="preserve">om </w:t>
      </w:r>
      <w:r w:rsidDel="00000000" w:rsidR="00000000" w:rsidRPr="00000000">
        <w:rPr>
          <w:rtl w:val="0"/>
        </w:rPr>
      </w:r>
    </w:p>
    <w:p w:rsidR="00000000" w:rsidDel="00000000" w:rsidP="00000000" w:rsidRDefault="00000000" w:rsidRPr="00000000" w14:paraId="000000B8">
      <w:pPr>
        <w:rPr/>
      </w:pPr>
      <w:r w:rsidDel="00000000" w:rsidR="00000000" w:rsidRPr="00000000">
        <w:rPr>
          <w:rFonts w:ascii="Times New Roman" w:cs="Times New Roman" w:eastAsia="Times New Roman" w:hAnsi="Times New Roman"/>
          <w:b w:val="0"/>
          <w:bCs w:val="0"/>
          <w:i w:val="0"/>
          <w:iCs w:val="0"/>
          <w:sz w:val="24"/>
          <w:szCs w:val="24"/>
          <w:rtl w:val="0"/>
        </w:rPr>
        <w:t xml:space="preserve">Indonesia's nickel downstreaming demonstrates that governance and industrial policy matter more than resource endowment alone in the critical minerals competition. Indonesia used export restrictions to redirect value toward domestic processing and attract foreign investment, the Philippines has remained more constrained by stagnating output and ore-export dependence, and Australia has pursued a different model centered on strategic support, international partnerships, and sovereign processing capacity.</w:t>
      </w:r>
      <w:r w:rsidDel="00000000" w:rsidR="00000000" w:rsidRPr="00000000">
        <w:rPr>
          <w:rtl w:val="0"/>
        </w:rPr>
      </w:r>
    </w:p>
    <w:p w:rsidR="00000000" w:rsidDel="00000000" w:rsidP="00000000" w:rsidRDefault="00000000" w:rsidRPr="00000000" w14:paraId="000000B9">
      <w:pPr>
        <w:rPr/>
      </w:pPr>
      <w:r w:rsidDel="00000000" w:rsidR="00000000" w:rsidRPr="00000000">
        <w:rPr>
          <w:rFonts w:ascii="Times New Roman" w:cs="Times New Roman" w:eastAsia="Times New Roman" w:hAnsi="Times New Roman"/>
          <w:b w:val="0"/>
          <w:bCs w:val="0"/>
          <w:i w:val="0"/>
          <w:iCs w:val="0"/>
          <w:sz w:val="24"/>
          <w:szCs w:val="24"/>
          <w:rtl w:val="0"/>
        </w:rPr>
        <w:t xml:space="preserve">Indonesia has turned nickel into strategic leverage not simply because it has large reserves, but because it has used industrial policy to move from raw ore exports toward domestic processing. (Guberman et al., 2024) show that Indonesia reintroduced export restrictions on nickel ore in 2020 after an initial 2014 ban, and that the policy helped shift exports toward higher-value processed nickel products while increasing foreign investment in downstream capacity. (Guberman et al., 2024) argue that Indonesia's export ban was designed to strengthen downstream nickel production capacity and expand the country's role in critical applications such as stainless steel and lithium-ion batteries. The paper also notes that raw nickel exports essentially ceased while downstream exports surged, and that foreign investment, predominantly from China, increased after the ban. This makes Indonesia the clearest case in the region of a state using legal and industrial policy to convert mineral wealth into strategic leverage.</w:t>
      </w:r>
      <w:r w:rsidDel="00000000" w:rsidR="00000000" w:rsidRPr="00000000">
        <w:rPr>
          <w:rtl w:val="0"/>
        </w:rPr>
      </w:r>
    </w:p>
    <w:p w:rsidR="00000000" w:rsidDel="00000000" w:rsidP="00000000" w:rsidRDefault="00000000" w:rsidRPr="00000000" w14:paraId="000000BA">
      <w:pPr>
        <w:rPr/>
      </w:pPr>
      <w:r w:rsidDel="00000000" w:rsidR="00000000" w:rsidRPr="00000000">
        <w:rPr>
          <w:rFonts w:ascii="Times New Roman" w:cs="Times New Roman" w:eastAsia="Times New Roman" w:hAnsi="Times New Roman"/>
          <w:b w:val="0"/>
          <w:bCs w:val="0"/>
          <w:i w:val="0"/>
          <w:iCs w:val="0"/>
          <w:sz w:val="24"/>
          <w:szCs w:val="24"/>
          <w:rtl w:val="0"/>
        </w:rPr>
        <w:t xml:space="preserve">While Indonesia successfully leverages its regulatory framework to force industrial upgrades, other regional actors demonstrate the limitations of relying purely on geological endowments without matching state intervention. For instance, ("Philippines: Nickel Industry," 2025) reports that Philippine nickel ore production has been stagnant since peaking in the mid-2010s, largely due to stricter environmental regulations under the Duterte administration. Because its domestic processing capacity remains limited, the Philippines remains the world's top exporter of unprocessed nickel ore, proving that mineral abundance alone does not guarantee strategic leverage. Conversely, Australia has pursued a different model entirely, centering its national strategy on resilient supply chains, international partnerships, and sovereign processing capability. As outlined in the (Critical Minerals Strategy--2030, 2023), rather than deploying coercive export bans, Australia utilizes targeted state support to de-risk projects, attract private finance, and build enabling infrastructure, positioning itself as a transparent and market-driven alternative in the region.</w:t>
      </w:r>
      <w:r w:rsidDel="00000000" w:rsidR="00000000" w:rsidRPr="00000000">
        <w:rPr>
          <w:rtl w:val="0"/>
        </w:rPr>
      </w:r>
    </w:p>
    <w:p w:rsidR="00000000" w:rsidDel="00000000" w:rsidP="00000000" w:rsidRDefault="00000000" w:rsidRPr="00000000" w14:paraId="000000BB">
      <w:pPr>
        <w:rPr/>
      </w:pPr>
      <w:r w:rsidDel="00000000" w:rsidR="00000000" w:rsidRPr="00000000">
        <w:rPr>
          <w:rFonts w:ascii="Times New Roman" w:cs="Times New Roman" w:eastAsia="Times New Roman" w:hAnsi="Times New Roman"/>
          <w:b w:val="0"/>
          <w:bCs w:val="0"/>
          <w:i w:val="0"/>
          <w:iCs w:val="0"/>
          <w:sz w:val="24"/>
          <w:szCs w:val="24"/>
          <w:rtl w:val="0"/>
        </w:rPr>
        <w:t xml:space="preserve">The stagnation of the Philippines is one of many landmarks in the critical mineral global competition because it reflects a policy stuck in itself. Philippine nickel exports totaled near 45 million metric tonnes in 2024, with China taking nearly 80-90% of that nickel in recent years. The remainder goes to Indonesia, which holds some of the largest nickel processing plants in Southeast Asia; a large number of which are owned by Chinese firms, and a great portion of which is exported to China. The result is even the remainder that is not sent directly to China ends up there regardless. Smaller</w:t>
      </w:r>
      <w:r w:rsidDel="00000000" w:rsidR="00000000" w:rsidRPr="00000000">
        <w:rPr>
          <w:rtl w:val="0"/>
        </w:rPr>
      </w:r>
    </w:p>
    <w:p w:rsidR="00000000" w:rsidDel="00000000" w:rsidP="00000000" w:rsidRDefault="00000000" w:rsidRPr="00000000" w14:paraId="000000BC">
      <w:pPr>
        <w:rPr/>
      </w:pPr>
      <w:r w:rsidDel="00000000" w:rsidR="00000000" w:rsidRPr="00000000">
        <w:rPr>
          <w:rFonts w:ascii="Times New Roman" w:cs="Times New Roman" w:eastAsia="Times New Roman" w:hAnsi="Times New Roman"/>
          <w:b w:val="0"/>
          <w:bCs w:val="0"/>
          <w:i w:val="0"/>
          <w:iCs w:val="0"/>
          <w:sz w:val="24"/>
          <w:szCs w:val="24"/>
          <w:rtl w:val="0"/>
        </w:rPr>
        <w:t xml:space="preserve">volumes are transported instead to Japan and South Korea, though in much less significant quantities. Chinese nickel is made up by nearly 90% Philippine nickel ore imports, as such the relationship between the nations is not China, with numerous options, taking from one more nation to diversify interests. Instead, it is China dependent upon the Philippine nickel stores, regardless of where the smelting and processing of nickel takes place; Indonesia or China. Such export power means both that the Philippines holds influence over China and that China has few alternatives to retain its required nickel for processing and thereby profit. Nations fundamentally need critical minerals, hence their title of critical, nonetheless China's chokehold on processing and smelting depends upon the source; all paths move up or down the supply chain somewhere, and the closer to the source, the more intensive the influence. Indonesia captures the midstream value itself through a ban-and-attract-investment style, combining Chinese investment and Philippine supply. Indonesia serves as an arm of the Chinese in that 90% of its nickel smelters are Chinese-firm-owned. Such, China's share of Philippine exports fell from roughly 78% to roughly 66% in 2025, but in large part only because Indonesian export to China took over the critical processing step. As such, China is effectively outsourcing its processing to Indonesian firms, which are in turn absorbing the risk of the processes, while Chinese companies profit. China outsources therefore without the risk the US faced of outsourcing to China in the infamous case of Apple. China still owns the processing plants and work without the risk of losing influence, as such the Indonesian workers cannot circumvent China, and nor would they, as it makes up for a major buyer. China's share of Philippine exports fell from in 2025, but only because Indonesia's share rose as Indonesian smelters ran short of domestic ore, so the ore is being pulled deeper into the same Chinese-financed processing ecosystem rather than diversifying away from it.</w:t>
      </w:r>
      <w:r w:rsidDel="00000000" w:rsidR="00000000" w:rsidRPr="00000000">
        <w:rPr>
          <w:rtl w:val="0"/>
        </w:rPr>
      </w:r>
    </w:p>
    <w:p w:rsidR="00000000" w:rsidDel="00000000" w:rsidP="00000000" w:rsidRDefault="00000000" w:rsidRPr="00000000" w14:paraId="000000BD">
      <w:pPr>
        <w:rPr/>
      </w:pPr>
      <w:r w:rsidDel="00000000" w:rsidR="00000000" w:rsidRPr="00000000">
        <w:rPr>
          <w:rFonts w:ascii="Times New Roman" w:cs="Times New Roman" w:eastAsia="Times New Roman" w:hAnsi="Times New Roman"/>
          <w:b w:val="0"/>
          <w:bCs w:val="0"/>
          <w:i w:val="0"/>
          <w:iCs w:val="0"/>
          <w:sz w:val="24"/>
          <w:szCs w:val="24"/>
          <w:rtl w:val="0"/>
        </w:rPr>
        <w:t xml:space="preserve">Additionally a Philippine Senate bill passed in February of 2025 which proposed phasing in a ban on exporting unprocessed nickel ore, to retain value within the nation and increase the value-adding steps of processing domestically. In June 2025 a bicameral conference committee removed the export ban, out of concern from industry groups who feared the policy would instead put their companies out of business, not bolster economic value-addition. As of 2026, the Philippine government policy is more akin to Australia's model of permit approvals, fiscal incentives, simplified procedures, and lastly reforms of the mining fiscal regime, in part involving the consent of Indigenous peoples and environmental regulations. Additionally, the government saw a 10% minimum share in gross revenues, and incentives for downstream processing. The ban was replaced instead with a separate system of investment to encourage processing through positive reinforcement rather than negative punishment. The ban is not dead full-stop in theory, merely in practice, nonetheless it has been tried and shelved once, thus displaying a disproportionate lack of interest.</w:t>
      </w:r>
      <w:r w:rsidDel="00000000" w:rsidR="00000000" w:rsidRPr="00000000">
        <w:rPr>
          <w:rtl w:val="0"/>
        </w:rPr>
      </w:r>
    </w:p>
    <w:p w:rsidR="00000000" w:rsidDel="00000000" w:rsidP="00000000" w:rsidRDefault="00000000" w:rsidRPr="00000000" w14:paraId="000000BE">
      <w:pPr>
        <w:rPr/>
      </w:pPr>
      <w:r w:rsidDel="00000000" w:rsidR="00000000" w:rsidRPr="00000000">
        <w:rPr>
          <w:rFonts w:ascii="Times New Roman" w:cs="Times New Roman" w:eastAsia="Times New Roman" w:hAnsi="Times New Roman"/>
          <w:b w:val="0"/>
          <w:bCs w:val="0"/>
          <w:i w:val="0"/>
          <w:iCs w:val="0"/>
          <w:sz w:val="24"/>
          <w:szCs w:val="24"/>
          <w:rtl w:val="0"/>
        </w:rPr>
        <w:t xml:space="preserve">The Philippines hold a role as a nation with raw material influence which is seeing increased attempts at governmentally-sponsored downstreaming and processing systems. Australia has taken an approach to similarly establish national control over domestic resources. Export Finance Australia, a major critical minerals facility in Australia, saw funding of $2 billion in 2023, followed by an expansion to $5 billion in February 2026; October of 2023 also saw Australia invest in processing and smelting with an allocation of $6 billion. Not a ban, such as the attempt in the Philippines, but instead a system of investment; the same kind of investment China conducts in other</w:t>
      </w:r>
      <w:r w:rsidDel="00000000" w:rsidR="00000000" w:rsidRPr="00000000">
        <w:rPr>
          <w:rtl w:val="0"/>
        </w:rPr>
      </w:r>
    </w:p>
    <w:p w:rsidR="00000000" w:rsidDel="00000000" w:rsidP="00000000" w:rsidRDefault="00000000" w:rsidRPr="00000000" w14:paraId="000000BF">
      <w:pPr>
        <w:rPr/>
      </w:pPr>
      <w:r w:rsidDel="00000000" w:rsidR="00000000" w:rsidRPr="00000000">
        <w:rPr>
          <w:rFonts w:ascii="Times New Roman" w:cs="Times New Roman" w:eastAsia="Times New Roman" w:hAnsi="Times New Roman"/>
          <w:b w:val="0"/>
          <w:bCs w:val="0"/>
          <w:i w:val="0"/>
          <w:iCs w:val="0"/>
          <w:sz w:val="24"/>
          <w:szCs w:val="24"/>
          <w:rtl w:val="0"/>
        </w:rPr>
        <w:t xml:space="preserve">nations. In short, nations which invest in themselves see retained power, as opposed to those which require funding from China, and whose markets are slowly consumed by the Chinese critical mineral machine. The National Reconstruction Fund of Australia provided $15 billion to diversify the economy through investments, namely renewables and defense, as they were seen as priorities for the nation; in August of 2025 it took a direct equity stake in Liontown, with a $50 million investment in the lithium producer. The resources Australia is oriented around are largely antimony, gallium and rare earth elements, as well as the aforementioned lithium; each mineral seeing it's own unique domestic investment. The 2026 budget holds an additionally $1 billion stake for the Bonye Island Aluminum Smelter, which was funded with an additional $7.5 billion of private investment; Whyalla Steelworks saw $222.6 million, and additionally millions went to stockpiling and strategic reserves. The 2025 US-Australia bilateral framework provided more than double the amount by April 2026, financing at least $1 billion from each government, including $2.2 billion specifically from the US.</w:t>
      </w:r>
      <w:r w:rsidDel="00000000" w:rsidR="00000000" w:rsidRPr="00000000">
        <w:rPr>
          <w:rtl w:val="0"/>
        </w:rPr>
      </w:r>
    </w:p>
    <w:p w:rsidR="00000000" w:rsidDel="00000000" w:rsidP="00000000" w:rsidRDefault="00000000" w:rsidRPr="00000000" w14:paraId="000000C0">
      <w:pPr>
        <w:rPr/>
      </w:pPr>
      <w:r w:rsidDel="00000000" w:rsidR="00000000" w:rsidRPr="00000000">
        <w:rPr>
          <w:rFonts w:ascii="Times New Roman" w:cs="Times New Roman" w:eastAsia="Times New Roman" w:hAnsi="Times New Roman"/>
          <w:b w:val="0"/>
          <w:bCs w:val="0"/>
          <w:i w:val="0"/>
          <w:iCs w:val="0"/>
          <w:sz w:val="24"/>
          <w:szCs w:val="24"/>
          <w:rtl w:val="0"/>
        </w:rPr>
        <w:t xml:space="preserve">In 2023, nine loans had been issued across all Australian funds. Now there are 81 critical mineral projects with a value of $30-40 billion. Such investment provides exactly the international insulation from external investment and leveraging which directly impacted nations such as Indonesia. This isn't merely extraction, like in Indonesia either, as Iluka Resources received a $1.65 billion loan (increased from an initial $1.25 billion in December 2024) from the Critical Minerals Facility to establish a processing plant for rare earth mineral sands in Eneabba. A graphite mine and processing plant received nearly $200 million- as well as a separate graphite company, EcoGraf, receiving $40 million for a battery anode plant at Kwinana. In short, Australia is seeing some of the largest investments in critical minerals in the world, as a Western power, insulated from the influence of external nations, such as China in nations like Indonesia. Indonesia boosted nickel exports, as Chinese companies established refineries, seeing massive investment of production capacity, while Australia by contrast has weaker output. Australia focuses less therefore on the short-term output and quick turnaround investment strategies and instead works primarily on the expansion of domestic infrastructure to add value downstream at a later date. The expansion in Australia is seen as a strategic government course of preservation, not as a corporate endeavor; despite the innate profitability of the investments and resources. Australia only exports 45,000 tonnes of nickel, as of 2025, while Indonesia produces 2.6 million, and the Philippines' 270,000. Nonetheless, due to allied-governments and nations, the largest single increase in Australian mineral financing was tied to diplomacy rather than pure domestic interest.</w:t>
      </w:r>
      <w:r w:rsidDel="00000000" w:rsidR="00000000" w:rsidRPr="00000000">
        <w:rPr>
          <w:rtl w:val="0"/>
        </w:rPr>
      </w:r>
    </w:p>
    <w:p w:rsidR="00000000" w:rsidDel="00000000" w:rsidP="00000000" w:rsidRDefault="00000000" w:rsidRPr="00000000" w14:paraId="000000C1">
      <w:pPr>
        <w:rPr/>
      </w:pPr>
      <w:r w:rsidDel="00000000" w:rsidR="00000000" w:rsidRPr="00000000">
        <w:rPr>
          <w:rFonts w:ascii="Times New Roman" w:cs="Times New Roman" w:eastAsia="Times New Roman" w:hAnsi="Times New Roman"/>
          <w:b w:val="0"/>
          <w:bCs w:val="0"/>
          <w:i w:val="0"/>
          <w:iCs w:val="0"/>
          <w:sz w:val="24"/>
          <w:szCs w:val="24"/>
          <w:rtl w:val="0"/>
        </w:rPr>
        <w:t xml:space="preserve">The division between the nations is then rather clear; Indonesia serves as a Chinese stronghold of nickel processing, while attempts have been made to create a safer processing system, nonetheless, production continues at a breakneck pace, as investment flows in from Chinese firms. The Philippines seek unique independence and control within the processing of the nickel domestically, for domestic purposes, while Australia seeks to aid it's allies in a domestic investment program, which in turn secures critical minerals for key allies, such as the United States. The expansion of $2 billion in investment of 2026 trailed a meeting of the Australia-US Taskforce on Critical Minerals, as well as the US-Australia Framework for Securing Supply in the Mining and Processing Critical Minerals and Rare Earths, by Albanese and Trump, as of March 2026.</w:t>
      </w:r>
      <w:r w:rsidDel="00000000" w:rsidR="00000000" w:rsidRPr="00000000">
        <w:rPr>
          <w:rtl w:val="0"/>
        </w:rPr>
      </w:r>
    </w:p>
    <w:p w:rsidR="00000000" w:rsidDel="00000000" w:rsidP="00000000" w:rsidRDefault="00000000" w:rsidRPr="00000000" w14:paraId="000000C2">
      <w:pPr>
        <w:rPr/>
      </w:pPr>
      <w:r w:rsidDel="00000000" w:rsidR="00000000" w:rsidRPr="00000000">
        <w:rPr>
          <w:rFonts w:ascii="Times New Roman" w:cs="Times New Roman" w:eastAsia="Times New Roman" w:hAnsi="Times New Roman"/>
          <w:b w:val="0"/>
          <w:bCs w:val="0"/>
          <w:i w:val="0"/>
          <w:iCs w:val="0"/>
          <w:sz w:val="24"/>
          <w:szCs w:val="24"/>
          <w:rtl w:val="0"/>
        </w:rPr>
        <w:t xml:space="preserve">The capital architecture driving Indo-Pacific mineral processing reinforces distinct governance tracks. In Indonesia, the export ban catalyzed over $30 billion in foreign direct investment between 2019 and 2023, funding more than 30 nickel smelters primarily concentrated in hubs like the Indonesia Morowali Industrial Park and Weda Bay Industrial Park (Phoumin, 2025). However, this growth relied heavily on Chinese capital, which quickly established dominant positions in processing infrastructure. To counter this overreliance and avoid strategic vulnerability, the Indonesian government actively seeks to diversify its partnerships. The Prabowo administration has accelerated diplomatic efforts to deepen ties with the United States, South Korea, Japan, and European nations (Phoumin, 2025). This includes lobbying Washington for a critical minerals sectoral agreement to allow Indonesian minerals to qualify for subsidies under the U.S. Inflation Reduction Act, building on a November 2023 memorandum of understanding (Phoumin, 2025). However, Western integration remains constrained by strict environmental, social, and governance (ESG) benchmarks, which contrast with the less stringent compliance demands of Chinese financiers.</w:t>
      </w:r>
      <w:r w:rsidDel="00000000" w:rsidR="00000000" w:rsidRPr="00000000">
        <w:rPr>
          <w:rtl w:val="0"/>
        </w:rPr>
      </w:r>
    </w:p>
    <w:p w:rsidR="00000000" w:rsidDel="00000000" w:rsidP="00000000" w:rsidRDefault="00000000" w:rsidRPr="00000000" w14:paraId="000000C3">
      <w:pPr>
        <w:rPr/>
      </w:pPr>
      <w:r w:rsidDel="00000000" w:rsidR="00000000" w:rsidRPr="00000000">
        <w:rPr>
          <w:rFonts w:ascii="Times New Roman" w:cs="Times New Roman" w:eastAsia="Times New Roman" w:hAnsi="Times New Roman"/>
          <w:b w:val="0"/>
          <w:bCs w:val="0"/>
          <w:i w:val="0"/>
          <w:iCs w:val="0"/>
          <w:sz w:val="24"/>
          <w:szCs w:val="24"/>
          <w:rtl w:val="0"/>
        </w:rPr>
        <w:t xml:space="preserve">Sovereign leverage depends on a state's institutional capacity to transition from basic mineral processing to full-scale technological integration. The Ministry of Investment/BKPM records that Indonesia's processed nickel export value surged exponentially following the raw ore ban, representing a deliberate structural transformation toward economic sovereignty (Rahayu Edarsasi, 2025). To capture greater value, the government established the state-owned Indonesia Battery Corporation (IBC) in 2021 to oversee an integrated electric vehicle (EV) battery supply chain, targeting a domestic production of nearly 944,000 EVs by 2030 (Consultores &amp; Kolibri, 2025; Phoumin, 2025). To achieve these targets and de-risk the massive capital required, reports by (Consultores &amp; Kolibri, 2025) recommend deploying innovative financing frameworks, such as Special Purpose Vehicles (SPVs) and advance purchase agreements, to secure global liquidity. Nevertheless, domestic regulatory enforcement remains uneven. Domestic critics point out that fiscal incentives like tax holidays have disproportionately benefited foreign-owned smelters, while local mining operations continue to face substantial environmental degradation and regulatory capacity deficits (Rahayu Edarsasi, 2025).</w:t>
      </w:r>
      <w:r w:rsidDel="00000000" w:rsidR="00000000" w:rsidRPr="00000000">
        <w:rPr>
          <w:rtl w:val="0"/>
        </w:rPr>
      </w:r>
    </w:p>
    <w:p w:rsidR="00000000" w:rsidDel="00000000" w:rsidP="00000000" w:rsidRDefault="00000000" w:rsidRPr="00000000" w14:paraId="000000C4">
      <w:pPr>
        <w:rPr/>
      </w:pPr>
      <w:r w:rsidDel="00000000" w:rsidR="00000000" w:rsidRPr="00000000">
        <w:rPr>
          <w:rFonts w:ascii="Times New Roman" w:cs="Times New Roman" w:eastAsia="Times New Roman" w:hAnsi="Times New Roman"/>
          <w:b w:val="0"/>
          <w:bCs w:val="0"/>
          <w:i w:val="0"/>
          <w:iCs w:val="0"/>
          <w:sz w:val="24"/>
          <w:szCs w:val="24"/>
          <w:rtl w:val="0"/>
        </w:rPr>
        <w:t xml:space="preserve">Ultimately, this regional comparative picture reveals a fundamental vulnerability in Western supply-chain strategy. While Western policymakers view critical mineral security primarily through the lens of supply diversification, they frequently overlook how asymmetric financial and regulatory frameworks dictate actual control. Indonesia's active desire to diversify away from Chinese capital and align with Western markets is repeatedly stymied by rigid Western ESG benchmarks that lack accompanying capital mechanisms or flexible trade agreements. By demanding strict compliance without providing competitive co-investment or market access, the West inadvertently locks resource-rich states back into Beijing's financial embrace. Consequently, unless Western strategy pairs ESG demands with pragmatic financing and structural integration, China's chokepoint control over midstream processing will remain unbreakable, rendering allied diversification efforts largely ineffective despite the vast mineral</w:t>
      </w:r>
      <w:r w:rsidDel="00000000" w:rsidR="00000000" w:rsidRPr="00000000">
        <w:rPr>
          <w:rtl w:val="0"/>
        </w:rPr>
      </w:r>
    </w:p>
    <w:p w:rsidR="00000000" w:rsidDel="00000000" w:rsidP="00000000" w:rsidRDefault="00000000" w:rsidRPr="00000000" w14:paraId="000000C5">
      <w:pPr>
        <w:rPr/>
      </w:pPr>
      <w:r w:rsidDel="00000000" w:rsidR="00000000" w:rsidRPr="00000000">
        <w:br w:type="page"/>
      </w:r>
      <w:r w:rsidDel="00000000" w:rsidR="00000000" w:rsidRPr="00000000">
        <w:rPr>
          <w:rtl w:val="0"/>
        </w:rPr>
      </w:r>
    </w:p>
    <w:p w:rsidR="00000000" w:rsidDel="00000000" w:rsidP="00000000" w:rsidRDefault="00000000" w:rsidRPr="00000000" w14:paraId="000000C6">
      <w:pPr>
        <w:pStyle w:val="Heading1"/>
        <w:pBdr>
          <w:bottom w:color="1b3a5c" w:space="4" w:sz="6" w:val="single"/>
        </w:pBdr>
        <w:spacing w:after="200" w:before="300" w:line="276" w:lineRule="auto"/>
        <w:rPr/>
      </w:pPr>
      <w:r w:rsidDel="00000000" w:rsidR="00000000" w:rsidRPr="00000000">
        <w:rPr>
          <w:rFonts w:ascii="Times New Roman" w:cs="Times New Roman" w:eastAsia="Times New Roman" w:hAnsi="Times New Roman"/>
          <w:b w:val="1"/>
          <w:bCs w:val="1"/>
          <w:i w:val="0"/>
          <w:iCs w:val="0"/>
          <w:sz w:val="30"/>
          <w:szCs w:val="30"/>
          <w:rtl w:val="0"/>
        </w:rPr>
        <w:t xml:space="preserve">The Yakjilva Mine as a Showcase of China's Eurasian Resource Access Strategy</w:t>
      </w:r>
      <w:r w:rsidDel="00000000" w:rsidR="00000000" w:rsidRPr="00000000">
        <w:rPr>
          <w:rtl w:val="0"/>
        </w:rPr>
      </w:r>
    </w:p>
    <w:p w:rsidR="00000000" w:rsidDel="00000000" w:rsidP="00000000" w:rsidRDefault="00000000" w:rsidRPr="00000000" w14:paraId="000000C7">
      <w:pPr>
        <w:rPr/>
      </w:pPr>
      <w:r w:rsidDel="00000000" w:rsidR="00000000" w:rsidRPr="00000000">
        <w:rPr>
          <w:rFonts w:ascii="Times New Roman" w:cs="Times New Roman" w:eastAsia="Times New Roman" w:hAnsi="Times New Roman"/>
          <w:b w:val="0"/>
          <w:bCs w:val="0"/>
          <w:i w:val="1"/>
          <w:iCs w:val="1"/>
          <w:sz w:val="24"/>
          <w:szCs w:val="24"/>
          <w:rtl w:val="0"/>
        </w:rPr>
        <w:t xml:space="preserve">Samuel Schlichting, Jack Lindstrom</w:t>
      </w:r>
      <w:r w:rsidDel="00000000" w:rsidR="00000000" w:rsidRPr="00000000">
        <w:rPr>
          <w:rtl w:val="0"/>
        </w:rPr>
      </w:r>
    </w:p>
    <w:p w:rsidR="00000000" w:rsidDel="00000000" w:rsidP="00000000" w:rsidRDefault="00000000" w:rsidRPr="00000000" w14:paraId="000000C8">
      <w:pPr>
        <w:rPr/>
      </w:pPr>
      <w:r w:rsidDel="00000000" w:rsidR="00000000" w:rsidRPr="00000000">
        <w:rPr>
          <w:rFonts w:ascii="Times New Roman" w:cs="Times New Roman" w:eastAsia="Times New Roman" w:hAnsi="Times New Roman"/>
          <w:b w:val="0"/>
          <w:bCs w:val="0"/>
          <w:i w:val="0"/>
          <w:iCs w:val="0"/>
          <w:sz w:val="24"/>
          <w:szCs w:val="24"/>
          <w:rtl w:val="0"/>
        </w:rPr>
        <w:t xml:space="preserve">Amidst a lonely wilderness of rugged snow-clad mountains, on the "roof of the world", as the Pamirs are often called, something akin to an ideal test ground for China's comprehensive natural resource access strategy has emerged. In the Gorno-Badakhshan Autonomous Region (GBAO) of Tajikistan, where in the late 19th century the frontiers of Qing China, Tsarist Russia and British India met, Chinese economic expansion faces little resistance today. Nearby Afghanistan has produced security needs which are served by, inter alia, the only known land-based Chinese security presence abroad, a military outpost in the Wakhan Corridor at the Tajik-Afghan border</w:t>
      </w:r>
      <w:r w:rsidDel="00000000" w:rsidR="00000000" w:rsidRPr="00000000">
        <w:rPr>
          <w:sz w:val="24"/>
          <w:szCs w:val="24"/>
          <w:vertAlign w:val="superscript"/>
          <w:rtl w:val="0"/>
        </w:rPr>
        <w:t xml:space="preserve">1</w:t>
      </w:r>
      <w:r w:rsidDel="00000000" w:rsidR="00000000" w:rsidRPr="00000000">
        <w:rPr>
          <w:rFonts w:ascii="Times New Roman" w:cs="Times New Roman" w:eastAsia="Times New Roman" w:hAnsi="Times New Roman"/>
          <w:b w:val="0"/>
          <w:bCs w:val="0"/>
          <w:i w:val="0"/>
          <w:iCs w:val="0"/>
          <w:sz w:val="24"/>
          <w:szCs w:val="24"/>
          <w:rtl w:val="0"/>
        </w:rPr>
        <w:t xml:space="preserve">. This base, developed since about 2016, is ostensibly intended to protect Xinjiang from infiltration by Afghan-based militants. Less well known is the fact that this security installation emerged hand in hand with increasing Chinese economic activity in the region. Across the nearby Karakoram and Kulma pass routes, growing amounts of BRI trade is conducted</w:t>
      </w:r>
      <w:r w:rsidDel="00000000" w:rsidR="00000000" w:rsidRPr="00000000">
        <w:rPr>
          <w:sz w:val="24"/>
          <w:szCs w:val="24"/>
          <w:vertAlign w:val="superscript"/>
          <w:rtl w:val="0"/>
        </w:rPr>
        <w:t xml:space="preserve">2</w:t>
      </w:r>
      <w:r w:rsidDel="00000000" w:rsidR="00000000" w:rsidRPr="00000000">
        <w:rPr>
          <w:rFonts w:ascii="Times New Roman" w:cs="Times New Roman" w:eastAsia="Times New Roman" w:hAnsi="Times New Roman"/>
          <w:b w:val="0"/>
          <w:bCs w:val="0"/>
          <w:i w:val="0"/>
          <w:iCs w:val="0"/>
          <w:sz w:val="24"/>
          <w:szCs w:val="24"/>
          <w:rtl w:val="0"/>
        </w:rPr>
        <w:t xml:space="preserve">. China is revamping stretches of the Kulma pass route to better connect it to Dushanbe and other Central Asian destinations</w:t>
      </w:r>
      <w:r w:rsidDel="00000000" w:rsidR="00000000" w:rsidRPr="00000000">
        <w:rPr>
          <w:sz w:val="24"/>
          <w:szCs w:val="24"/>
          <w:vertAlign w:val="superscript"/>
          <w:rtl w:val="0"/>
        </w:rPr>
        <w:t xml:space="preserve">3</w:t>
      </w:r>
      <w:r w:rsidDel="00000000" w:rsidR="00000000" w:rsidRPr="00000000">
        <w:rPr>
          <w:rFonts w:ascii="Times New Roman" w:cs="Times New Roman" w:eastAsia="Times New Roman" w:hAnsi="Times New Roman"/>
          <w:b w:val="0"/>
          <w:bCs w:val="0"/>
          <w:i w:val="0"/>
          <w:iCs w:val="0"/>
          <w:sz w:val="24"/>
          <w:szCs w:val="24"/>
          <w:rtl w:val="0"/>
        </w:rPr>
        <w:t xml:space="preserve">. But most significantly, China started to exploit a high-altitude silver deposit, the Yakjilva mine, just a few years after the security facility emerged</w:t>
      </w:r>
      <w:r w:rsidDel="00000000" w:rsidR="00000000" w:rsidRPr="00000000">
        <w:rPr>
          <w:sz w:val="24"/>
          <w:szCs w:val="24"/>
          <w:vertAlign w:val="superscript"/>
          <w:rtl w:val="0"/>
        </w:rPr>
        <w:t xml:space="preserve">4</w:t>
      </w:r>
      <w:r w:rsidDel="00000000" w:rsidR="00000000" w:rsidRPr="00000000">
        <w:rPr>
          <w:rFonts w:ascii="Times New Roman" w:cs="Times New Roman" w:eastAsia="Times New Roman" w:hAnsi="Times New Roman"/>
          <w:b w:val="0"/>
          <w:bCs w:val="0"/>
          <w:i w:val="0"/>
          <w:iCs w:val="0"/>
          <w:sz w:val="24"/>
          <w:szCs w:val="24"/>
          <w:rtl w:val="0"/>
        </w:rPr>
        <w:t xml:space="preserve">. While the deals around Yakjilva are shrouded in opaqueness (a general characteristic of resource deals, but particularly pronounced in this case), some observable features of it can lead us to a deeper understanding of how China prefers to access natural resources in Eurasia.</w:t>
      </w:r>
      <w:r w:rsidDel="00000000" w:rsidR="00000000" w:rsidRPr="00000000">
        <w:rPr>
          <w:rtl w:val="0"/>
        </w:rPr>
      </w:r>
    </w:p>
    <w:p w:rsidR="00000000" w:rsidDel="00000000" w:rsidP="00000000" w:rsidRDefault="00000000" w:rsidRPr="00000000" w14:paraId="000000C9">
      <w:pPr>
        <w:rPr/>
      </w:pPr>
      <w:r w:rsidDel="00000000" w:rsidR="00000000" w:rsidRPr="00000000">
        <w:rPr>
          <w:rFonts w:ascii="Times New Roman" w:cs="Times New Roman" w:eastAsia="Times New Roman" w:hAnsi="Times New Roman"/>
          <w:b w:val="0"/>
          <w:bCs w:val="0"/>
          <w:i w:val="0"/>
          <w:iCs w:val="0"/>
          <w:sz w:val="24"/>
          <w:szCs w:val="24"/>
          <w:rtl w:val="0"/>
        </w:rPr>
        <w:t xml:space="preserve">The Yakjilva Deal The Yakjilva mine is located in a mountainous area at 4200 meters above sea level, a height that poses significant challenges to workers and equipment</w:t>
      </w:r>
      <w:r w:rsidDel="00000000" w:rsidR="00000000" w:rsidRPr="00000000">
        <w:rPr>
          <w:sz w:val="24"/>
          <w:szCs w:val="24"/>
          <w:vertAlign w:val="superscript"/>
          <w:rtl w:val="0"/>
        </w:rPr>
        <w:t xml:space="preserve">5</w:t>
      </w:r>
      <w:r w:rsidDel="00000000" w:rsidR="00000000" w:rsidRPr="00000000">
        <w:rPr>
          <w:rFonts w:ascii="Times New Roman" w:cs="Times New Roman" w:eastAsia="Times New Roman" w:hAnsi="Times New Roman"/>
          <w:b w:val="0"/>
          <w:bCs w:val="0"/>
          <w:i w:val="0"/>
          <w:iCs w:val="0"/>
          <w:sz w:val="24"/>
          <w:szCs w:val="24"/>
          <w:rtl w:val="0"/>
        </w:rPr>
        <w:t xml:space="preserve">. When debating the mine deal in parliament, the expected salary Tajik workers would receive (around 270 USD/month) drew criticism not least on the ground of health hazards connected to high altitude</w:t>
      </w:r>
      <w:r w:rsidDel="00000000" w:rsidR="00000000" w:rsidRPr="00000000">
        <w:rPr>
          <w:sz w:val="24"/>
          <w:szCs w:val="24"/>
          <w:vertAlign w:val="superscript"/>
          <w:rtl w:val="0"/>
        </w:rPr>
        <w:t xml:space="preserve">6</w:t>
      </w:r>
      <w:r w:rsidDel="00000000" w:rsidR="00000000" w:rsidRPr="00000000">
        <w:rPr>
          <w:rFonts w:ascii="Times New Roman" w:cs="Times New Roman" w:eastAsia="Times New Roman" w:hAnsi="Times New Roman"/>
          <w:b w:val="0"/>
          <w:bCs w:val="0"/>
          <w:i w:val="0"/>
          <w:iCs w:val="0"/>
          <w:sz w:val="24"/>
          <w:szCs w:val="24"/>
          <w:rtl w:val="0"/>
        </w:rPr>
        <w:t xml:space="preserve">. China is obviously not discouraged by geographical, environmental or social challenges such as these. Another factor is the absence of a domestic services market for mining operations. Yakjilva operates with a relatively high ratio of Tajik workers (100 vs. 70 Chinese employees</w:t>
      </w:r>
      <w:r w:rsidDel="00000000" w:rsidR="00000000" w:rsidRPr="00000000">
        <w:rPr>
          <w:sz w:val="24"/>
          <w:szCs w:val="24"/>
          <w:vertAlign w:val="superscript"/>
          <w:rtl w:val="0"/>
        </w:rPr>
        <w:t xml:space="preserve">7</w:t>
      </w:r>
      <w:r w:rsidDel="00000000" w:rsidR="00000000" w:rsidRPr="00000000">
        <w:rPr>
          <w:rFonts w:ascii="Times New Roman" w:cs="Times New Roman" w:eastAsia="Times New Roman" w:hAnsi="Times New Roman"/>
          <w:b w:val="0"/>
          <w:bCs w:val="0"/>
          <w:i w:val="0"/>
          <w:iCs w:val="0"/>
          <w:sz w:val="24"/>
          <w:szCs w:val="24"/>
          <w:rtl w:val="0"/>
        </w:rPr>
        <w:t xml:space="preserve">), yet the number of Chinese personnel is not insignificant either. Moreover, as far as is known, there are no domestic subcontractors for machinery, spare parts, energy supply and other critical services, which have to be provided by the Chinese side. Far from deterring Chinese engagement, this perfectly fits China's overall strategy: developing export markets for goods, services, and labor over the whole industry spectrum in order to mitigate domestic overcapacities</w:t>
      </w:r>
      <w:r w:rsidDel="00000000" w:rsidR="00000000" w:rsidRPr="00000000">
        <w:rPr>
          <w:sz w:val="24"/>
          <w:szCs w:val="24"/>
          <w:vertAlign w:val="superscript"/>
          <w:rtl w:val="0"/>
        </w:rPr>
        <w:t xml:space="preserve">8</w:t>
      </w:r>
      <w:r w:rsidDel="00000000" w:rsidR="00000000" w:rsidRPr="00000000">
        <w:rPr>
          <w:rFonts w:ascii="Times New Roman" w:cs="Times New Roman" w:eastAsia="Times New Roman" w:hAnsi="Times New Roman"/>
          <w:b w:val="0"/>
          <w:bCs w:val="0"/>
          <w:i w:val="0"/>
          <w:iCs w:val="0"/>
          <w:sz w:val="24"/>
          <w:szCs w:val="24"/>
          <w:rtl w:val="0"/>
        </w:rPr>
        <w:t xml:space="preserve">. A third point worth mentioning is the disequilibrium between the contracting counterparts. China is not only more powerful militarily, financially, technologically and diplomatically, but it is also in a creditor position vis-à-vis Tajikistan as a debtor. In particular, Tajikistan owes more than a quarter of its debt to China</w:t>
      </w:r>
      <w:r w:rsidDel="00000000" w:rsidR="00000000" w:rsidRPr="00000000">
        <w:rPr>
          <w:sz w:val="24"/>
          <w:szCs w:val="24"/>
          <w:vertAlign w:val="superscript"/>
          <w:rtl w:val="0"/>
        </w:rPr>
        <w:t xml:space="preserve">9</w:t>
      </w:r>
      <w:r w:rsidDel="00000000" w:rsidR="00000000" w:rsidRPr="00000000">
        <w:rPr>
          <w:rFonts w:ascii="Times New Roman" w:cs="Times New Roman" w:eastAsia="Times New Roman" w:hAnsi="Times New Roman"/>
          <w:b w:val="0"/>
          <w:bCs w:val="0"/>
          <w:i w:val="0"/>
          <w:iCs w:val="0"/>
          <w:sz w:val="24"/>
          <w:szCs w:val="24"/>
          <w:rtl w:val="0"/>
        </w:rPr>
        <w:t xml:space="preserve">. This gives preponderance to China in negotiations of the conditions of the Yakjilva mining project or any other similar resource deal. Finally, and as mentioned before, the mine is just one of several engagements in GBAO which started about the same time and reasonably close to each other to warrant a preliminary assumption</w:t>
      </w:r>
      <w:r w:rsidDel="00000000" w:rsidR="00000000" w:rsidRPr="00000000">
        <w:rPr>
          <w:rtl w:val="0"/>
        </w:rPr>
      </w:r>
    </w:p>
    <w:p w:rsidR="00000000" w:rsidDel="00000000" w:rsidP="00000000" w:rsidRDefault="00000000" w:rsidRPr="00000000" w14:paraId="000000CA">
      <w:pPr>
        <w:rPr/>
      </w:pPr>
      <w:r w:rsidDel="00000000" w:rsidR="00000000" w:rsidRPr="00000000">
        <w:rPr>
          <w:rFonts w:ascii="Times New Roman" w:cs="Times New Roman" w:eastAsia="Times New Roman" w:hAnsi="Times New Roman"/>
          <w:b w:val="0"/>
          <w:bCs w:val="0"/>
          <w:i w:val="0"/>
          <w:iCs w:val="0"/>
          <w:sz w:val="24"/>
          <w:szCs w:val="24"/>
          <w:rtl w:val="0"/>
        </w:rPr>
        <w:t xml:space="preserve">of interconnectedness: the mentioned highway project is important for Sino-Tajik connectivity in general, but also, more in particular, for the purpose of transporting ores extracted from the Yakjilva deposit to China for processing. Moreover, that the security installation mentioned above serves the purpose of protecting the mining operation, among other tasks, is more than pure surmise: while no official documents are publicly available that prove this connection, given the danger Chinese assets in Tajikistan are facing from the side of Afghan-based militants</w:t>
      </w:r>
      <w:r w:rsidDel="00000000" w:rsidR="00000000" w:rsidRPr="00000000">
        <w:rPr>
          <w:sz w:val="24"/>
          <w:szCs w:val="24"/>
          <w:vertAlign w:val="superscript"/>
          <w:rtl w:val="0"/>
        </w:rPr>
        <w:t xml:space="preserve">10</w:t>
      </w:r>
      <w:r w:rsidDel="00000000" w:rsidR="00000000" w:rsidRPr="00000000">
        <w:rPr>
          <w:rFonts w:ascii="Times New Roman" w:cs="Times New Roman" w:eastAsia="Times New Roman" w:hAnsi="Times New Roman"/>
          <w:b w:val="0"/>
          <w:bCs w:val="0"/>
          <w:i w:val="0"/>
          <w:iCs w:val="0"/>
          <w:sz w:val="24"/>
          <w:szCs w:val="24"/>
          <w:rtl w:val="0"/>
        </w:rPr>
        <w:t xml:space="preserve">, the conclusion is as self-evident as it could possibly be.</w:t>
      </w:r>
      <w:r w:rsidDel="00000000" w:rsidR="00000000" w:rsidRPr="00000000">
        <w:rPr>
          <w:rtl w:val="0"/>
        </w:rPr>
      </w:r>
    </w:p>
    <w:p w:rsidR="00000000" w:rsidDel="00000000" w:rsidP="00000000" w:rsidRDefault="00000000" w:rsidRPr="00000000" w14:paraId="000000CB">
      <w:pPr>
        <w:rPr/>
      </w:pPr>
      <w:r w:rsidDel="00000000" w:rsidR="00000000" w:rsidRPr="00000000">
        <w:rPr>
          <w:rFonts w:ascii="Times New Roman" w:cs="Times New Roman" w:eastAsia="Times New Roman" w:hAnsi="Times New Roman"/>
          <w:b w:val="0"/>
          <w:bCs w:val="0"/>
          <w:i w:val="0"/>
          <w:iCs w:val="0"/>
          <w:sz w:val="24"/>
          <w:szCs w:val="24"/>
          <w:rtl w:val="0"/>
        </w:rPr>
        <w:t xml:space="preserve">Generally speaking, Chinese resource companies go where the resources are that China needs. Insofar, they are no different from any other actor engaged in resource exploration and extraction. However, given that China is a latecomer in most resource markets</w:t>
      </w:r>
      <w:r w:rsidDel="00000000" w:rsidR="00000000" w:rsidRPr="00000000">
        <w:rPr>
          <w:sz w:val="24"/>
          <w:szCs w:val="24"/>
          <w:vertAlign w:val="superscript"/>
          <w:rtl w:val="0"/>
        </w:rPr>
        <w:t xml:space="preserve">11</w:t>
      </w:r>
      <w:r w:rsidDel="00000000" w:rsidR="00000000" w:rsidRPr="00000000">
        <w:rPr>
          <w:rFonts w:ascii="Times New Roman" w:cs="Times New Roman" w:eastAsia="Times New Roman" w:hAnsi="Times New Roman"/>
          <w:b w:val="0"/>
          <w:bCs w:val="0"/>
          <w:i w:val="0"/>
          <w:iCs w:val="0"/>
          <w:sz w:val="24"/>
          <w:szCs w:val="24"/>
          <w:rtl w:val="0"/>
        </w:rPr>
        <w:t xml:space="preserve">, it has to compete with entrenched stakeholders, either domestic players or overseas investors, often Western-based large multinationals or Russian state-connected corporations. Bound by long-term contracts and endowed with financial, reputational and diplomatic capital as those players are, it is no easy thing for China to move them out of their positions. For example, in 2003, when China sought to get a foothold in Kazakhstan's crude oil industry, an attempt to buy into the Agip KCO consortium which managed several significant Kazakh oil assets, was blocked by the consortium members despite the deal having been well underway</w:t>
      </w:r>
      <w:r w:rsidDel="00000000" w:rsidR="00000000" w:rsidRPr="00000000">
        <w:rPr>
          <w:sz w:val="24"/>
          <w:szCs w:val="24"/>
          <w:vertAlign w:val="superscript"/>
          <w:rtl w:val="0"/>
        </w:rPr>
        <w:t xml:space="preserve">12</w:t>
      </w:r>
      <w:r w:rsidDel="00000000" w:rsidR="00000000" w:rsidRPr="00000000">
        <w:rPr>
          <w:rFonts w:ascii="Times New Roman" w:cs="Times New Roman" w:eastAsia="Times New Roman" w:hAnsi="Times New Roman"/>
          <w:b w:val="0"/>
          <w:bCs w:val="0"/>
          <w:i w:val="0"/>
          <w:iCs w:val="0"/>
          <w:sz w:val="24"/>
          <w:szCs w:val="24"/>
          <w:rtl w:val="0"/>
        </w:rPr>
        <w:t xml:space="preserve">. Even today, as China's economic clout surpasses that of most competitors, contractual and structural inertia is not easily overcome. In this situation China was (and is) often forced to take assets that are less attractive to other major players due to various factors including security, environmental hazards, or low short-term profitability. To successfully develop such difficult assets, China has to do what it does best: comprehensive planning and implementation on many structural levels. Arguably, this is a strategy that is much more easily and naturally employed by a tightly organized party-state where major resource corporations are state-owned or at the very least closely connected to the government and where the remnants of the socialist planned economy in Five-Year Plans and strategic target setting continue to guide critical areas of the economy</w:t>
      </w:r>
      <w:r w:rsidDel="00000000" w:rsidR="00000000" w:rsidRPr="00000000">
        <w:rPr>
          <w:sz w:val="24"/>
          <w:szCs w:val="24"/>
          <w:vertAlign w:val="superscript"/>
          <w:rtl w:val="0"/>
        </w:rPr>
        <w:t xml:space="preserve">13</w:t>
      </w:r>
      <w:r w:rsidDel="00000000" w:rsidR="00000000" w:rsidRPr="00000000">
        <w:rPr>
          <w:rFonts w:ascii="Times New Roman" w:cs="Times New Roman" w:eastAsia="Times New Roman" w:hAnsi="Times New Roman"/>
          <w:b w:val="0"/>
          <w:bCs w:val="0"/>
          <w:i w:val="0"/>
          <w:iCs w:val="0"/>
          <w:sz w:val="24"/>
          <w:szCs w:val="24"/>
          <w:rtl w:val="0"/>
        </w:rPr>
        <w:t xml:space="preserve">. As the Yakjilva case shows, China is ready to exploit difficult assets when it is in a position to influence things structurally, i.e. on many levels, ranging from security to infrastructure to finance to diplomatic power. Designing structures means betting on the long perspective: every detail of the cooperative framework designed by China gives it a potential leverage and excludes a potential stumbling block that could be put in its way by competing stakeholders.</w:t>
      </w:r>
      <w:r w:rsidDel="00000000" w:rsidR="00000000" w:rsidRPr="00000000">
        <w:rPr>
          <w:rtl w:val="0"/>
        </w:rPr>
      </w:r>
    </w:p>
    <w:p w:rsidR="00000000" w:rsidDel="00000000" w:rsidP="00000000" w:rsidRDefault="00000000" w:rsidRPr="00000000" w14:paraId="000000CC">
      <w:pPr>
        <w:rPr/>
      </w:pPr>
      <w:r w:rsidDel="00000000" w:rsidR="00000000" w:rsidRPr="00000000">
        <w:rPr>
          <w:rFonts w:ascii="Times New Roman" w:cs="Times New Roman" w:eastAsia="Times New Roman" w:hAnsi="Times New Roman"/>
          <w:b w:val="0"/>
          <w:bCs w:val="0"/>
          <w:i w:val="0"/>
          <w:iCs w:val="0"/>
          <w:sz w:val="24"/>
          <w:szCs w:val="24"/>
          <w:rtl w:val="0"/>
        </w:rPr>
        <w:t xml:space="preserve">Determining whether the Yakjilva mine has to be treated as a standalone case or serves as example or even template for China's overall resource access strategy in Eurasia, first of all the following caveat is in place: Eurasia is a large and highly heterogeneous geographical area. Conditions met by China vary, obviously, in countries such as Tajikistan, Afghanistan, Iran, or Russia. Where the resource extraction industry is developed and in the hands of powerful domestic players, China does not usually act as an investor but rather as a buyer. This concerns Russia and Iran, for instance. Even</w:t>
      </w:r>
      <w:r w:rsidDel="00000000" w:rsidR="00000000" w:rsidRPr="00000000">
        <w:rPr>
          <w:rtl w:val="0"/>
        </w:rPr>
        <w:t xml:space="preserve"> </w:t>
      </w:r>
      <w:r w:rsidDel="00000000" w:rsidR="00000000" w:rsidRPr="00000000">
        <w:rPr>
          <w:rFonts w:ascii="Times New Roman" w:cs="Times New Roman" w:eastAsia="Times New Roman" w:hAnsi="Times New Roman"/>
          <w:b w:val="0"/>
          <w:bCs w:val="0"/>
          <w:i w:val="0"/>
          <w:iCs w:val="0"/>
          <w:sz w:val="24"/>
          <w:szCs w:val="24"/>
          <w:rtl w:val="0"/>
        </w:rPr>
        <w:t xml:space="preserve">in Kazakhstan, China's role as an investor is surprisingly modest. China has bought into the Kazakh oil industry since the late 1990s, but as the example cited above shows, it was met not with an overly warm welcome by the entrenched stakeholders. The Sino-Kazakh Comprehensive Strategic Partnership Declaration of 2016 only mentions hydrocarbon energy, grains, and uranium, and in all three kinds of resources, China predominantly acts as a buyer, even as China controls some stakes in oil fields such as Kumkol, Uzenskoye and Kashagan</w:t>
      </w:r>
      <w:r w:rsidDel="00000000" w:rsidR="00000000" w:rsidRPr="00000000">
        <w:rPr>
          <w:sz w:val="24"/>
          <w:szCs w:val="24"/>
          <w:vertAlign w:val="superscript"/>
          <w:rtl w:val="0"/>
        </w:rPr>
        <w:t xml:space="preserve">14</w:t>
      </w:r>
      <w:r w:rsidDel="00000000" w:rsidR="00000000" w:rsidRPr="00000000">
        <w:rPr>
          <w:rFonts w:ascii="Times New Roman" w:cs="Times New Roman" w:eastAsia="Times New Roman" w:hAnsi="Times New Roman"/>
          <w:b w:val="0"/>
          <w:bCs w:val="0"/>
          <w:i w:val="0"/>
          <w:iCs w:val="0"/>
          <w:sz w:val="24"/>
          <w:szCs w:val="24"/>
          <w:rtl w:val="0"/>
        </w:rPr>
        <w:t xml:space="preserve">.</w:t>
      </w:r>
      <w:r w:rsidDel="00000000" w:rsidR="00000000" w:rsidRPr="00000000">
        <w:rPr>
          <w:rtl w:val="0"/>
        </w:rPr>
      </w:r>
    </w:p>
    <w:p w:rsidR="00000000" w:rsidDel="00000000" w:rsidP="00000000" w:rsidRDefault="00000000" w:rsidRPr="00000000" w14:paraId="000000CD">
      <w:pPr>
        <w:rPr/>
      </w:pPr>
      <w:r w:rsidDel="00000000" w:rsidR="00000000" w:rsidRPr="00000000">
        <w:rPr>
          <w:rFonts w:ascii="Times New Roman" w:cs="Times New Roman" w:eastAsia="Times New Roman" w:hAnsi="Times New Roman"/>
          <w:b w:val="0"/>
          <w:bCs w:val="0"/>
          <w:i w:val="0"/>
          <w:iCs w:val="0"/>
          <w:sz w:val="24"/>
          <w:szCs w:val="24"/>
          <w:rtl w:val="0"/>
        </w:rPr>
        <w:t xml:space="preserve">China holds structural advantages in Eurasia, nonetheless the region of Central Asia holds a powerful incumbent, that of Russia. Russia has regarded Central Asia as its "near abroad" region since the collapse of the Soviet Union, as a result the instruments at play in Central Asia are primarily that of migration and political influence. Although China invests nearly $35.9 billion by 2025 cumulatively, Russia has only invested $20 billion, Moscow has made it clear that investment volume is not the metric which the government is most concerned with. Instead the labor migration serves as the keystone of the Russian relationship with Central Asia; nearly 8 million Central Asians work in Russia and remittances make up close to half of Tajikistan's GDP as well as a substantial slice of Kyrgyzstan's and Uzbekistan's GDPs. In fact, nearly every rural household of Tajikistan and Kyrgyzstan depends upon money sent home from Russia; something which does not change relative to Chinese investment. Investment may change the infrastructure, but it does not directly increase the regional income. What does provide such a support is the migrant workers in Russia. The battlefield is not a zero-sum game wherein Chinese economic investment displaces Russian political influence, it is instead a nation divided by powers which seek to utilize it; Russian security and institutions, such as the Collective Security Treaty Organization and the Eurasian Economic Union; as well as military basing, as in Tajikistan the 201st Military Base is established. The 201st serves as Russia's largest garrison outside its own borders and houses roughly 7,000 troops at such facilities in Dushanbe and Bokhtar. China by contrast provides capital and infrastructure, as well as the trade infrastructure within the region through the Belt and Road Initiative. Nonetheless the nations of Central Asia are not clearly either Chinese-won or Russian-retained, but rather sliced narrowly in varying sectors between the giant nations. China's outpost serves as the closest contention to Russia's garrison in the 201st, which is established in the Wakhan Corridor, however it is everything the Russian base is not; low-profile, remote, and modern, whereas the Russian base is large, central and dates back to Soviet infrastructure, the history therein is rich. And so the contention between Russia and China is a battle on different fronts in the same region, wherein Russia holds a more visual role, despite China providing it's own unique shadowy position. China in turn is building from scratch in the region while Russia simply maintains, however China is developing on multiple facets, economic and militarily, as opposed to Russia simply serving as a figurehead and historical power. Russia does not need to build a mine-adjacent security presence because it inherited the security architecture; China does, because it is the newcomer assembling every layer of leverage itself.</w:t>
      </w:r>
      <w:r w:rsidDel="00000000" w:rsidR="00000000" w:rsidRPr="00000000">
        <w:rPr>
          <w:rtl w:val="0"/>
        </w:rPr>
        <w:t xml:space="preserve"> </w:t>
      </w:r>
      <w:r w:rsidDel="00000000" w:rsidR="00000000" w:rsidRPr="00000000">
        <w:rPr>
          <w:rFonts w:ascii="Times New Roman" w:cs="Times New Roman" w:eastAsia="Times New Roman" w:hAnsi="Times New Roman"/>
          <w:b w:val="0"/>
          <w:bCs w:val="0"/>
          <w:i w:val="0"/>
          <w:iCs w:val="0"/>
          <w:sz w:val="24"/>
          <w:szCs w:val="24"/>
          <w:rtl w:val="0"/>
        </w:rPr>
        <w:t xml:space="preserve">However, things are different where conditions resemble that of the Yakjilva case.</w:t>
      </w:r>
      <w:r w:rsidDel="00000000" w:rsidR="00000000" w:rsidRPr="00000000">
        <w:rPr>
          <w:rtl w:val="0"/>
        </w:rPr>
      </w:r>
    </w:p>
    <w:p w:rsidR="00000000" w:rsidDel="00000000" w:rsidP="00000000" w:rsidRDefault="00000000" w:rsidRPr="00000000" w14:paraId="000000CE">
      <w:pPr>
        <w:rPr/>
      </w:pPr>
      <w:r w:rsidDel="00000000" w:rsidR="00000000" w:rsidRPr="00000000">
        <w:rPr>
          <w:rFonts w:ascii="Times New Roman" w:cs="Times New Roman" w:eastAsia="Times New Roman" w:hAnsi="Times New Roman"/>
          <w:b w:val="0"/>
          <w:bCs w:val="0"/>
          <w:i w:val="0"/>
          <w:iCs w:val="0"/>
          <w:sz w:val="24"/>
          <w:szCs w:val="24"/>
          <w:rtl w:val="0"/>
        </w:rPr>
        <w:t xml:space="preserve">Additionally, Russia and China hold a unique relationship within their buyer-investor balances. According to Eurasian Development Bank- China's alternative to the Russian-established Eurasian Economic Union, China's cumulative direct investment in Central Asia reached the aforementioned $35.9 billion, and as such surpassed Russia. Despite this, the actual split of buyers and investors is</w:t>
      </w:r>
      <w:r w:rsidDel="00000000" w:rsidR="00000000" w:rsidRPr="00000000">
        <w:rPr>
          <w:rtl w:val="0"/>
        </w:rPr>
      </w:r>
    </w:p>
    <w:p w:rsidR="00000000" w:rsidDel="00000000" w:rsidP="00000000" w:rsidRDefault="00000000" w:rsidRPr="00000000" w14:paraId="000000CF">
      <w:pPr>
        <w:rPr/>
      </w:pPr>
      <w:r w:rsidDel="00000000" w:rsidR="00000000" w:rsidRPr="00000000">
        <w:rPr>
          <w:rFonts w:ascii="Times New Roman" w:cs="Times New Roman" w:eastAsia="Times New Roman" w:hAnsi="Times New Roman"/>
          <w:b w:val="0"/>
          <w:bCs w:val="0"/>
          <w:i w:val="0"/>
          <w:iCs w:val="0"/>
          <w:sz w:val="24"/>
          <w:szCs w:val="24"/>
          <w:rtl w:val="0"/>
        </w:rPr>
        <w:t xml:space="preserve">remarkably close, as Kazakhstan and Uzbekistan alone account for nearly 60% of the regional total, coming out to $11.4 billion and $10.7 billion respectively, and Turkmenistan </w:t>
      </w:r>
      <w:r w:rsidDel="00000000" w:rsidR="00000000" w:rsidRPr="00000000">
        <w:rPr>
          <w:sz w:val="24"/>
          <w:szCs w:val="24"/>
          <w:rtl w:val="0"/>
        </w:rPr>
        <w:t xml:space="preserve">rests</w:t>
      </w:r>
      <w:r w:rsidDel="00000000" w:rsidR="00000000" w:rsidRPr="00000000">
        <w:rPr>
          <w:rFonts w:ascii="Times New Roman" w:cs="Times New Roman" w:eastAsia="Times New Roman" w:hAnsi="Times New Roman"/>
          <w:b w:val="0"/>
          <w:bCs w:val="0"/>
          <w:i w:val="0"/>
          <w:iCs w:val="0"/>
          <w:sz w:val="24"/>
          <w:szCs w:val="24"/>
          <w:rtl w:val="0"/>
        </w:rPr>
        <w:t xml:space="preserve"> just behind at $9.5 billion. This is not merely due to equity stakes in extraction but rather due to the intense cost of pipelines and hydrocarbon financing, while Tajikistan and Kyrgyzstan only account for a tenth of the portfolio, with $2.2 billion and $2.1 billion respectively. </w:t>
      </w:r>
      <w:r w:rsidDel="00000000" w:rsidR="00000000" w:rsidRPr="00000000">
        <w:rPr>
          <w:sz w:val="24"/>
          <w:szCs w:val="24"/>
          <w:rtl w:val="0"/>
        </w:rPr>
        <w:t xml:space="preserve">Nonetheless</w:t>
      </w:r>
      <w:r w:rsidDel="00000000" w:rsidR="00000000" w:rsidRPr="00000000">
        <w:rPr>
          <w:rFonts w:ascii="Times New Roman" w:cs="Times New Roman" w:eastAsia="Times New Roman" w:hAnsi="Times New Roman"/>
          <w:b w:val="0"/>
          <w:bCs w:val="0"/>
          <w:i w:val="0"/>
          <w:iCs w:val="0"/>
          <w:sz w:val="24"/>
          <w:szCs w:val="24"/>
          <w:rtl w:val="0"/>
        </w:rPr>
        <w:t xml:space="preserve"> it is these capital-poor markets that Chinese firms have vertically integrated the highest in from buyer to operating managers. Zijin Mining Group does not simply purchase concentrate from Kyrgyz and Tajik producers of gold but instead owns and operates the deposits outright, such as the Tadlybulak Levobrehenzy mine in Kyrgyzstan or the Zarafshon joint venture. Such ventures contribute to more than 3/4ths of the gold production from Tajikistan. As such China is playing a game of monopoly to conquer the economies of rare resources in capital poor nations because the pockets of China are much deeper than those in Tajikistan. Such a model is reflected toward other markets in Central Asia as well, largely. Zijin's $1.2 billion acquisition of Kazakhstan's Raygorodok gold mine as well as the influx of Chinese-backed copper smelting investment- which included a $7.5 billion commitment to Kazakhstan's copper sector in the first half of 2025 alone, indicate as much. The buyer-to-investor threshold is shifting so that China is able to not simply purchase but own outright the value of the Central Asian region and its critical minerals. China does not simply invest in weaker markets but instead is seeking to dominate the entire region so that it holds a relative monopoly, however it started with the easiest markets to acquire, and has moved its way up the chain since. The Yakjilva pattern only cements such a notion, given Chinese interest in the region and its expansion.</w:t>
      </w:r>
      <w:r w:rsidDel="00000000" w:rsidR="00000000" w:rsidRPr="00000000">
        <w:rPr>
          <w:rtl w:val="0"/>
        </w:rPr>
      </w:r>
    </w:p>
    <w:p w:rsidR="00000000" w:rsidDel="00000000" w:rsidP="00000000" w:rsidRDefault="00000000" w:rsidRPr="00000000" w14:paraId="000000D0">
      <w:pPr>
        <w:rPr>
          <w:vertAlign w:val="superscript"/>
        </w:rPr>
      </w:pPr>
      <w:r w:rsidDel="00000000" w:rsidR="00000000" w:rsidRPr="00000000">
        <w:rPr>
          <w:rFonts w:ascii="Times New Roman" w:cs="Times New Roman" w:eastAsia="Times New Roman" w:hAnsi="Times New Roman"/>
          <w:b w:val="0"/>
          <w:bCs w:val="0"/>
          <w:i w:val="0"/>
          <w:iCs w:val="0"/>
          <w:sz w:val="24"/>
          <w:szCs w:val="24"/>
          <w:rtl w:val="0"/>
        </w:rPr>
        <w:t xml:space="preserve">China is a significant investor in exploration, extraction and initial processing in Kyrgyzstan, Kazakhstan, Turkmenistan, Afghanistan, Mongolia, Pakistan, Uzbekistan. All of these belong (to varying degrees, obviously) to the category of difficult but promising markets with respect to security, lack of finance, imperfect infrastructural penetration underdeveloped domestic industries or absence of powerful domestic players. Moreover, all these countries either share a border with China or are in its close neighborhood. In the case of Uzbekistan, which does not share a border with China, China is engaged in the construction of a railroad that is planned to connect Uzbekistan to China via Kyrgyzstan</w:t>
      </w:r>
      <w:r w:rsidDel="00000000" w:rsidR="00000000" w:rsidRPr="00000000">
        <w:rPr>
          <w:sz w:val="24"/>
          <w:szCs w:val="24"/>
          <w:vertAlign w:val="superscript"/>
          <w:rtl w:val="0"/>
        </w:rPr>
        <w:t xml:space="preserve">15</w:t>
      </w:r>
      <w:r w:rsidDel="00000000" w:rsidR="00000000" w:rsidRPr="00000000">
        <w:rPr>
          <w:rFonts w:ascii="Times New Roman" w:cs="Times New Roman" w:eastAsia="Times New Roman" w:hAnsi="Times New Roman"/>
          <w:b w:val="0"/>
          <w:bCs w:val="0"/>
          <w:i w:val="0"/>
          <w:iCs w:val="0"/>
          <w:sz w:val="24"/>
          <w:szCs w:val="24"/>
          <w:rtl w:val="0"/>
        </w:rPr>
        <w:t xml:space="preserve">. This railroad, discussed since the late 1990s, has met innumerous obstacles and was only in recent years finally agreed upon. A major reason for China to be interested in this connectivity project was the potential it provided for resource extraction in the high-altitude mining regions of the Kyrgyz part of the Tianshan range, for example</w:t>
      </w:r>
      <w:r w:rsidDel="00000000" w:rsidR="00000000" w:rsidRPr="00000000">
        <w:rPr>
          <w:sz w:val="24"/>
          <w:szCs w:val="24"/>
          <w:vertAlign w:val="superscript"/>
          <w:rtl w:val="0"/>
        </w:rPr>
        <w:t xml:space="preserve">16</w:t>
      </w:r>
      <w:r w:rsidDel="00000000" w:rsidR="00000000" w:rsidRPr="00000000">
        <w:rPr>
          <w:rFonts w:ascii="Times New Roman" w:cs="Times New Roman" w:eastAsia="Times New Roman" w:hAnsi="Times New Roman"/>
          <w:b w:val="0"/>
          <w:bCs w:val="0"/>
          <w:i w:val="0"/>
          <w:iCs w:val="0"/>
          <w:sz w:val="24"/>
          <w:szCs w:val="24"/>
          <w:rtl w:val="0"/>
        </w:rPr>
        <w:t xml:space="preserve">. The connection of resource extraction and infrastructure is highly relevant for China's resource strategy in Eurasia, for Sino-Eurasian connectivity is almost exclusively land-based. While the US and Europe ship most of their resources on the oceans, Eurasian resource transport requires railroads and pipelines. Mongolian coal and copper deposits and Uzbek gold mines are or will be supported by railroads</w:t>
      </w:r>
      <w:r w:rsidDel="00000000" w:rsidR="00000000" w:rsidRPr="00000000">
        <w:rPr>
          <w:sz w:val="24"/>
          <w:szCs w:val="24"/>
          <w:vertAlign w:val="superscript"/>
          <w:rtl w:val="0"/>
        </w:rPr>
        <w:t xml:space="preserve">17</w:t>
      </w:r>
      <w:r w:rsidDel="00000000" w:rsidR="00000000" w:rsidRPr="00000000">
        <w:rPr>
          <w:rFonts w:ascii="Times New Roman" w:cs="Times New Roman" w:eastAsia="Times New Roman" w:hAnsi="Times New Roman"/>
          <w:b w:val="0"/>
          <w:bCs w:val="0"/>
          <w:i w:val="0"/>
          <w:iCs w:val="0"/>
          <w:sz w:val="24"/>
          <w:szCs w:val="24"/>
          <w:rtl w:val="0"/>
        </w:rPr>
        <w:t xml:space="preserve">, Kazakh crude and Turkmen natural gas are transported via Chinese-built pipelines. But China is not only interested in extracting mineral resources and shipping them to China for processing, which is still the predominant model</w:t>
      </w:r>
      <w:r w:rsidDel="00000000" w:rsidR="00000000" w:rsidRPr="00000000">
        <w:rPr>
          <w:sz w:val="24"/>
          <w:szCs w:val="24"/>
          <w:vertAlign w:val="superscript"/>
          <w:rtl w:val="0"/>
        </w:rPr>
        <w:t xml:space="preserve">18</w:t>
      </w:r>
      <w:r w:rsidDel="00000000" w:rsidR="00000000" w:rsidRPr="00000000">
        <w:rPr>
          <w:rFonts w:ascii="Times New Roman" w:cs="Times New Roman" w:eastAsia="Times New Roman" w:hAnsi="Times New Roman"/>
          <w:b w:val="0"/>
          <w:bCs w:val="0"/>
          <w:i w:val="0"/>
          <w:iCs w:val="0"/>
          <w:sz w:val="24"/>
          <w:szCs w:val="24"/>
          <w:rtl w:val="0"/>
        </w:rPr>
        <w:t xml:space="preserve">. Where local industries have achieved sufficient maturity to allow cooperation beyond mere extraction, China is keen to establish a foothold in emerging processing structures.</w:t>
      </w:r>
      <w:r w:rsidDel="00000000" w:rsidR="00000000" w:rsidRPr="00000000">
        <w:rPr>
          <w:sz w:val="24"/>
          <w:szCs w:val="24"/>
          <w:vertAlign w:val="superscript"/>
          <w:rtl w:val="0"/>
        </w:rPr>
        <w:t xml:space="preserve">19</w:t>
      </w:r>
      <w:r w:rsidDel="00000000" w:rsidR="00000000" w:rsidRPr="00000000">
        <w:rPr>
          <w:rtl w:val="0"/>
        </w:rPr>
      </w:r>
    </w:p>
    <w:p w:rsidR="00000000" w:rsidDel="00000000" w:rsidP="00000000" w:rsidRDefault="00000000" w:rsidRPr="00000000" w14:paraId="000000D1">
      <w:pPr>
        <w:rPr/>
      </w:pPr>
      <w:r w:rsidDel="00000000" w:rsidR="00000000" w:rsidRPr="00000000">
        <w:rPr>
          <w:rFonts w:ascii="Times New Roman" w:cs="Times New Roman" w:eastAsia="Times New Roman" w:hAnsi="Times New Roman"/>
          <w:b w:val="0"/>
          <w:bCs w:val="0"/>
          <w:i w:val="0"/>
          <w:iCs w:val="0"/>
          <w:sz w:val="24"/>
          <w:szCs w:val="24"/>
          <w:rtl w:val="0"/>
        </w:rPr>
        <w:t xml:space="preserve">China is also shifting way from mere export and processing, as it has conducted historically. Rather than merely attaining the resources and shipping them back to China, it has begun establishing smelters and facilities within the Central Asian nations. China Nonferrous Metal Industry's Foreign Engineering and Construction Company (NFC) committed to a $1.5 billion copper smelter not far from the Aktogai deposit in Abai Region which is designed to process 300,000 tonnes of copper annually. This is mirrored in China's other investments of refining externally, namely in Indonesia's nickel market, wherein the process is the same; a plot of resource-rich land is extracted from and Chinese smelting and refining plants are built nearby. The NFC smelter is tied directly to some of Kazakhstan's largest copper mines; and yet a $12.6 billion proposal from China's East Hope Group- one of the world's largest aluminum producers- has been offered to establish an entire aluminium integration complex in Kazakhstan's Kostanay and Aktobe regions; from extraction of bauxite to alumina refining to aluminum smelting, the project is estimated to produce 3 million tonnes of aluminum annually. Such an endeavor bolsters both the local economy and the Chinese monopoly on rare minerals, and the result is an eager pair of nations to establish an incredible amount of control of a resource-rich region. It is significant however that this is not merely a Chinese endeavor; Kazakh officials have explicitly reflected that raw-material export is a problem of resource-risk they desire to solve. The Kazakh vice minister noted that only a third of the country's alumina is converted domestically into aluminum with the rest exported unprocessed; leaving some 97% of Kazakh copper outside the country unprocessed or only minimally so. Deeper local processing therefore is in the best interests of both nations and combines Chinese industrial might and export strategy with Kazakh industrial policy and government compliance- not Chinese strongarming. As such the Yakjilva template provides a unique reading where Tajikistan with a thin domestic market and lacking value-added ambition from government, is a classic case of Chinese extraction-only policy. Ore is shipped out of the Kulma pass for processing and such is the end of the nation's relationship.</w:t>
      </w:r>
      <w:r w:rsidDel="00000000" w:rsidR="00000000" w:rsidRPr="00000000">
        <w:rPr>
          <w:rtl w:val="0"/>
        </w:rPr>
      </w:r>
    </w:p>
    <w:p w:rsidR="00000000" w:rsidDel="00000000" w:rsidP="00000000" w:rsidRDefault="00000000" w:rsidRPr="00000000" w14:paraId="000000D2">
      <w:pPr>
        <w:rPr/>
      </w:pPr>
      <w:r w:rsidDel="00000000" w:rsidR="00000000" w:rsidRPr="00000000">
        <w:rPr>
          <w:rFonts w:ascii="Times New Roman" w:cs="Times New Roman" w:eastAsia="Times New Roman" w:hAnsi="Times New Roman"/>
          <w:b w:val="0"/>
          <w:bCs w:val="0"/>
          <w:i w:val="0"/>
          <w:iCs w:val="0"/>
          <w:sz w:val="24"/>
          <w:szCs w:val="24"/>
          <w:rtl w:val="0"/>
        </w:rPr>
        <w:t xml:space="preserve">Kazakhstan, by contrast, has enough bargaining leverage and administrative capacity to negotiate its way up the value chain. The variation suggests the "template" is not fixed but scales with host-state capacity: China defaults to pure extraction where it can, and concedes local processing where it must. In short, export and processing is a two way street, one which benefits China either way.</w:t>
      </w:r>
      <w:r w:rsidDel="00000000" w:rsidR="00000000" w:rsidRPr="00000000">
        <w:rPr>
          <w:rtl w:val="0"/>
        </w:rPr>
      </w:r>
    </w:p>
    <w:p w:rsidR="00000000" w:rsidDel="00000000" w:rsidP="00000000" w:rsidRDefault="00000000" w:rsidRPr="00000000" w14:paraId="000000D3">
      <w:pPr>
        <w:rPr/>
      </w:pPr>
      <w:r w:rsidDel="00000000" w:rsidR="00000000" w:rsidRPr="00000000">
        <w:rPr>
          <w:rFonts w:ascii="Times New Roman" w:cs="Times New Roman" w:eastAsia="Times New Roman" w:hAnsi="Times New Roman"/>
          <w:b w:val="0"/>
          <w:bCs w:val="0"/>
          <w:i w:val="0"/>
          <w:iCs w:val="0"/>
          <w:sz w:val="24"/>
          <w:szCs w:val="24"/>
          <w:rtl w:val="0"/>
        </w:rPr>
        <w:t xml:space="preserve">China's structural approach which encompasses infrastructure, resources and security deals (or other facilitating measures on levels that are ostensibly disconnected from resources) is a strategy necessitated by both geographical constraints and path-dependency as a latecomer, and it is greatly facilitated by China's experience with multi-stakeholder central planning domestically and abroad. China's Eurasian resource access strategy is insofar unique as the conditions posed by Eurasia (a continental bloc in China's immediate neighborhood) are replicated nowhere else in the world. However, its general characteristics have to be expected to reemerge wherever the other ecosystemic factors apply (i.e. volatile security, lack of finance, lack of negotiating clout, absence of powerful entrenched stakeholders), because this is what China over the last three decades has learned to manage successfully.</w:t>
      </w:r>
      <w:r w:rsidDel="00000000" w:rsidR="00000000" w:rsidRPr="00000000">
        <w:rPr>
          <w:rtl w:val="0"/>
        </w:rPr>
      </w:r>
    </w:p>
    <w:p w:rsidR="00000000" w:rsidDel="00000000" w:rsidP="00000000" w:rsidRDefault="00000000" w:rsidRPr="00000000" w14:paraId="000000D4">
      <w:pPr>
        <w:rPr/>
      </w:pPr>
      <w:r w:rsidDel="00000000" w:rsidR="00000000" w:rsidRPr="00000000">
        <w:br w:type="page"/>
      </w:r>
      <w:r w:rsidDel="00000000" w:rsidR="00000000" w:rsidRPr="00000000">
        <w:rPr>
          <w:rtl w:val="0"/>
        </w:rPr>
      </w:r>
    </w:p>
    <w:p w:rsidR="00000000" w:rsidDel="00000000" w:rsidP="00000000" w:rsidRDefault="00000000" w:rsidRPr="00000000" w14:paraId="000000D5">
      <w:pPr>
        <w:pStyle w:val="Heading1"/>
        <w:pBdr>
          <w:bottom w:color="1b3a5c" w:space="4" w:sz="6" w:val="single"/>
        </w:pBdr>
        <w:spacing w:after="200" w:before="300" w:line="276" w:lineRule="auto"/>
        <w:rPr/>
      </w:pPr>
      <w:r w:rsidDel="00000000" w:rsidR="00000000" w:rsidRPr="00000000">
        <w:rPr>
          <w:b w:val="1"/>
          <w:bCs w:val="1"/>
          <w:sz w:val="30"/>
          <w:szCs w:val="30"/>
          <w:rtl w:val="0"/>
        </w:rPr>
        <w:t xml:space="preserve">India's Critical-Minerals Processing Gap</w:t>
      </w:r>
      <w:r w:rsidDel="00000000" w:rsidR="00000000" w:rsidRPr="00000000">
        <w:rPr>
          <w:rtl w:val="0"/>
        </w:rPr>
      </w:r>
    </w:p>
    <w:p w:rsidR="00000000" w:rsidDel="00000000" w:rsidP="00000000" w:rsidRDefault="00000000" w:rsidRPr="00000000" w14:paraId="000000D6">
      <w:pPr>
        <w:rPr/>
      </w:pPr>
      <w:r w:rsidDel="00000000" w:rsidR="00000000" w:rsidRPr="00000000">
        <w:rPr>
          <w:rFonts w:ascii="Times New Roman" w:cs="Times New Roman" w:eastAsia="Times New Roman" w:hAnsi="Times New Roman"/>
          <w:b w:val="0"/>
          <w:bCs w:val="0"/>
          <w:i w:val="1"/>
          <w:iCs w:val="1"/>
          <w:sz w:val="24"/>
          <w:szCs w:val="24"/>
          <w:rtl w:val="0"/>
        </w:rPr>
        <w:t xml:space="preserve">J. M. Lindstrom, Aakansha Singh</w:t>
      </w:r>
      <w:r w:rsidDel="00000000" w:rsidR="00000000" w:rsidRPr="00000000">
        <w:rPr>
          <w:rtl w:val="0"/>
        </w:rPr>
      </w:r>
    </w:p>
    <w:p w:rsidR="00000000" w:rsidDel="00000000" w:rsidP="00000000" w:rsidRDefault="00000000" w:rsidRPr="00000000" w14:paraId="000000D7">
      <w:pPr>
        <w:rPr/>
      </w:pPr>
      <w:r w:rsidDel="00000000" w:rsidR="00000000" w:rsidRPr="00000000">
        <w:rPr>
          <w:rFonts w:ascii="Times New Roman" w:cs="Times New Roman" w:eastAsia="Times New Roman" w:hAnsi="Times New Roman"/>
          <w:b w:val="0"/>
          <w:bCs w:val="0"/>
          <w:i w:val="0"/>
          <w:iCs w:val="0"/>
          <w:sz w:val="24"/>
          <w:szCs w:val="24"/>
          <w:rtl w:val="0"/>
        </w:rPr>
        <w:t xml:space="preserve">Chokepoints exist by way of restriction. Think of a neck on a human; it only serves as such a critical stranglehold because it is the bottleneck where all oxygen must come and go. With only one line of support, such a line creates deeply entrenched risk. To resolve such a chokepoint, a nation must diversify. Critical minerals have served as a chokepoint for much of the world for this reason; there is no alternative to rare earths or critical minerals, and sourcing and processing compound the rarity throughout the supply chain. There is only so much gold in the world, and only so many nations with the capability to properly extract, refine, and utilize it. Such gold is used to make components for microchips, which in turn power AI. Working throughout the supply chain requires diversification on all fronts; the US, for example, is able to create microchips domestically as well as source them from Taiwan, but requires diversity not just on the back end but also at the head of the supply chain: the mines and processing.</w:t>
      </w:r>
      <w:r w:rsidDel="00000000" w:rsidR="00000000" w:rsidRPr="00000000">
        <w:rPr>
          <w:rtl w:val="0"/>
        </w:rPr>
      </w:r>
    </w:p>
    <w:p w:rsidR="00000000" w:rsidDel="00000000" w:rsidP="00000000" w:rsidRDefault="00000000" w:rsidRPr="00000000" w14:paraId="000000D8">
      <w:pPr>
        <w:rPr/>
      </w:pPr>
      <w:r w:rsidDel="00000000" w:rsidR="00000000" w:rsidRPr="00000000">
        <w:rPr>
          <w:rFonts w:ascii="Times New Roman" w:cs="Times New Roman" w:eastAsia="Times New Roman" w:hAnsi="Times New Roman"/>
          <w:b w:val="0"/>
          <w:bCs w:val="0"/>
          <w:i w:val="0"/>
          <w:iCs w:val="0"/>
          <w:sz w:val="24"/>
          <w:szCs w:val="24"/>
          <w:rtl w:val="0"/>
        </w:rPr>
        <w:t xml:space="preserve">India is a nation uniquely suited to such a role of diversification, and thereby insulation from leverage. India holds the world's third-largest rare earth repository</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1</w:t>
      </w:r>
      <w:r w:rsidDel="00000000" w:rsidR="00000000" w:rsidRPr="00000000">
        <w:rPr>
          <w:rFonts w:ascii="Times New Roman" w:cs="Times New Roman" w:eastAsia="Times New Roman" w:hAnsi="Times New Roman"/>
          <w:b w:val="0"/>
          <w:bCs w:val="0"/>
          <w:i w:val="0"/>
          <w:iCs w:val="0"/>
          <w:sz w:val="24"/>
          <w:szCs w:val="24"/>
          <w:rtl w:val="0"/>
        </w:rPr>
        <w:t xml:space="preserve"> and is geographically rich in critical minerals; however, it is the downstream processing capacity that hinders the strategic value of the nation. One such critical failure in India is due to deposits of monazite, a radioactive mineral. The Geological Survey of India recorded a total of 482.6 million untapped tonnes of rare earth ore in the nation, with 13.15 million tonnes of monazite alone, according to the Atomic Minerals Directorate.</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2</w:t>
      </w:r>
      <w:r w:rsidDel="00000000" w:rsidR="00000000" w:rsidRPr="00000000">
        <w:rPr>
          <w:rFonts w:ascii="Times New Roman" w:cs="Times New Roman" w:eastAsia="Times New Roman" w:hAnsi="Times New Roman"/>
          <w:b w:val="0"/>
          <w:bCs w:val="0"/>
          <w:i w:val="0"/>
          <w:iCs w:val="0"/>
          <w:sz w:val="24"/>
          <w:szCs w:val="24"/>
          <w:rtl w:val="0"/>
        </w:rPr>
        <w:t xml:space="preserve"> The Union Cabinet approved government expenditure for a specific National Critical Mineral Mission;</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3</w:t>
      </w:r>
      <w:r w:rsidDel="00000000" w:rsidR="00000000" w:rsidRPr="00000000">
        <w:rPr>
          <w:rFonts w:ascii="Times New Roman" w:cs="Times New Roman" w:eastAsia="Times New Roman" w:hAnsi="Times New Roman"/>
          <w:b w:val="0"/>
          <w:bCs w:val="0"/>
          <w:i w:val="0"/>
          <w:iCs w:val="0"/>
          <w:sz w:val="24"/>
          <w:szCs w:val="24"/>
          <w:rtl w:val="0"/>
        </w:rPr>
        <w:t xml:space="preserve"> however, the fact that these minerals are radioactive in turn creates a tension over the ownership, volatility, and inherent risk of processing, mining, and refining.</w:t>
      </w:r>
      <w:r w:rsidDel="00000000" w:rsidR="00000000" w:rsidRPr="00000000">
        <w:rPr>
          <w:rtl w:val="0"/>
        </w:rPr>
      </w:r>
    </w:p>
    <w:p w:rsidR="00000000" w:rsidDel="00000000" w:rsidP="00000000" w:rsidRDefault="00000000" w:rsidRPr="00000000" w14:paraId="000000D9">
      <w:pPr>
        <w:rPr/>
      </w:pPr>
      <w:r w:rsidDel="00000000" w:rsidR="00000000" w:rsidRPr="00000000">
        <w:rPr>
          <w:rFonts w:ascii="Times New Roman" w:cs="Times New Roman" w:eastAsia="Times New Roman" w:hAnsi="Times New Roman"/>
          <w:b w:val="0"/>
          <w:bCs w:val="0"/>
          <w:i w:val="0"/>
          <w:iCs w:val="0"/>
          <w:sz w:val="24"/>
          <w:szCs w:val="24"/>
          <w:rtl w:val="0"/>
        </w:rPr>
        <w:t xml:space="preserve">That tension is the heart of this brief, where India's critical mineral processing gap acts not only as a general capital or investment shortcoming but as a structural problem with international implications. It is a regulatory and jurisdictional split, as the Ministry of Mines-funded initiatives, such as the NCMM, the Dedicated Rare Earth Corridors and the lithium/nickel incentive scheme, sit on one track, while the Department of Atomic Energy rests upon another.</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4</w:t>
      </w:r>
      <w:r w:rsidDel="00000000" w:rsidR="00000000" w:rsidRPr="00000000">
        <w:rPr>
          <w:rFonts w:ascii="Times New Roman" w:cs="Times New Roman" w:eastAsia="Times New Roman" w:hAnsi="Times New Roman"/>
          <w:b w:val="0"/>
          <w:bCs w:val="0"/>
          <w:i w:val="0"/>
          <w:iCs w:val="0"/>
          <w:sz w:val="24"/>
          <w:szCs w:val="24"/>
          <w:rtl w:val="0"/>
        </w:rPr>
        <w:t xml:space="preserve"> The DAE therefore sits on India's single largest identified REE resource stream, which is untouched by that very funding.</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29</w:t>
      </w:r>
      <w:r w:rsidDel="00000000" w:rsidR="00000000" w:rsidRPr="00000000">
        <w:rPr>
          <w:rFonts w:ascii="Times New Roman" w:cs="Times New Roman" w:eastAsia="Times New Roman" w:hAnsi="Times New Roman"/>
          <w:b w:val="0"/>
          <w:bCs w:val="0"/>
          <w:i w:val="0"/>
          <w:iCs w:val="0"/>
          <w:sz w:val="24"/>
          <w:szCs w:val="24"/>
          <w:rtl w:val="0"/>
        </w:rPr>
        <w:t xml:space="preserve"> Because the two tracks move on different timelines and under different statutory logics, India functions less as a near-term substitute for Chinese processing capacity and more as a longer-term diversification partner, whose different mineral streams, lithium and nickel on one side, monazite-derived rare earths on the other, will come online at very different speeds.</w:t>
      </w:r>
      <w:r w:rsidDel="00000000" w:rsidR="00000000" w:rsidRPr="00000000">
        <w:rPr>
          <w:rtl w:val="0"/>
        </w:rPr>
      </w:r>
    </w:p>
    <w:p w:rsidR="00000000" w:rsidDel="00000000" w:rsidP="00000000" w:rsidRDefault="00000000" w:rsidRPr="00000000" w14:paraId="000000DA">
      <w:pPr>
        <w:rPr/>
      </w:pPr>
      <w:r w:rsidDel="00000000" w:rsidR="00000000" w:rsidRPr="00000000">
        <w:rPr>
          <w:rFonts w:ascii="Times New Roman" w:cs="Times New Roman" w:eastAsia="Times New Roman" w:hAnsi="Times New Roman"/>
          <w:b w:val="0"/>
          <w:bCs w:val="0"/>
          <w:i w:val="0"/>
          <w:iCs w:val="0"/>
          <w:sz w:val="24"/>
          <w:szCs w:val="24"/>
          <w:rtl w:val="0"/>
        </w:rPr>
        <w:t xml:space="preserve">The AMCR regime reserved mining to IREL, while Malaysia's Lynas refinery is a recognized comparator operating under a different, non-monopoly, licensing-based model.</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5</w:t>
      </w:r>
      <w:r w:rsidDel="00000000" w:rsidR="00000000" w:rsidRPr="00000000">
        <w:rPr>
          <w:rFonts w:ascii="Times New Roman" w:cs="Times New Roman" w:eastAsia="Times New Roman" w:hAnsi="Times New Roman"/>
          <w:b w:val="0"/>
          <w:bCs w:val="0"/>
          <w:i w:val="0"/>
          <w:iCs w:val="0"/>
          <w:sz w:val="24"/>
          <w:szCs w:val="24"/>
          <w:rtl w:val="0"/>
        </w:rPr>
        <w:t xml:space="preserve"> The designation and corresponding capabilities of each nation reflect the geostrategic importance of each. The divide between the DAE and the Ministry of Mines is, in large part, what keeps these minerals isolated and untapped from the funding. India holds roughly 5.3% of global aluminium output, as well as a strong bauxite base of deposits.</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6</w:t>
      </w:r>
      <w:r w:rsidDel="00000000" w:rsidR="00000000" w:rsidRPr="00000000">
        <w:rPr>
          <w:rFonts w:ascii="Times New Roman" w:cs="Times New Roman" w:eastAsia="Times New Roman" w:hAnsi="Times New Roman"/>
          <w:b w:val="0"/>
          <w:bCs w:val="0"/>
          <w:i w:val="0"/>
          <w:iCs w:val="0"/>
          <w:sz w:val="24"/>
          <w:szCs w:val="24"/>
          <w:rtl w:val="0"/>
        </w:rPr>
        <w:t xml:space="preserve"> Despite that, it seems to lack nickel, molybdenum, neodymium, or indium, as well as a supply-short silver and copper base.</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7</w:t>
      </w:r>
      <w:r w:rsidDel="00000000" w:rsidR="00000000" w:rsidRPr="00000000">
        <w:rPr>
          <w:rFonts w:ascii="Times New Roman" w:cs="Times New Roman" w:eastAsia="Times New Roman" w:hAnsi="Times New Roman"/>
          <w:b w:val="0"/>
          <w:bCs w:val="0"/>
          <w:i w:val="0"/>
          <w:iCs w:val="0"/>
          <w:sz w:val="24"/>
          <w:szCs w:val="24"/>
          <w:rtl w:val="0"/>
        </w:rPr>
        <w:t xml:space="preserve"> These numbers are important because they don't just reflect what India possesses, but also where India is weak in processing, everywhere. India's other mineral gaps are bottlenecked through technological and capital investment,</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31</w:t>
      </w:r>
      <w:r w:rsidDel="00000000" w:rsidR="00000000" w:rsidRPr="00000000">
        <w:rPr>
          <w:rFonts w:ascii="Times New Roman" w:cs="Times New Roman" w:eastAsia="Times New Roman" w:hAnsi="Times New Roman"/>
          <w:b w:val="0"/>
          <w:bCs w:val="0"/>
          <w:i w:val="0"/>
          <w:iCs w:val="0"/>
          <w:sz w:val="24"/>
          <w:szCs w:val="24"/>
          <w:rtl w:val="0"/>
        </w:rPr>
        <w:t xml:space="preserve"> but the monazite displays a case wherein it is the governing system itself, something potentially reflected throughout the nation's governance structures. India additionally holds clay-based lithium deposits, spread throughout Jammu and Kashmir, which also lack the critical infrastructure to process such critical minerals.</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8</w:t>
      </w:r>
      <w:r w:rsidDel="00000000" w:rsidR="00000000" w:rsidRPr="00000000">
        <w:rPr>
          <w:rFonts w:ascii="Times New Roman" w:cs="Times New Roman" w:eastAsia="Times New Roman" w:hAnsi="Times New Roman"/>
          <w:b w:val="0"/>
          <w:bCs w:val="0"/>
          <w:i w:val="0"/>
          <w:iCs w:val="0"/>
          <w:sz w:val="24"/>
          <w:szCs w:val="24"/>
          <w:rtl w:val="0"/>
        </w:rPr>
        <w:t xml:space="preserve"> There is no jurisdictional issue therein; however, it is the same story as much of the world: a lack of processing, an abundance of untapped resources.</w:t>
      </w:r>
      <w:r w:rsidDel="00000000" w:rsidR="00000000" w:rsidRPr="00000000">
        <w:rPr>
          <w:rtl w:val="0"/>
        </w:rPr>
      </w:r>
    </w:p>
    <w:p w:rsidR="00000000" w:rsidDel="00000000" w:rsidP="00000000" w:rsidRDefault="00000000" w:rsidRPr="00000000" w14:paraId="000000DB">
      <w:pPr>
        <w:rPr/>
      </w:pPr>
      <w:r w:rsidDel="00000000" w:rsidR="00000000" w:rsidRPr="00000000">
        <w:rPr>
          <w:rFonts w:ascii="Times New Roman" w:cs="Times New Roman" w:eastAsia="Times New Roman" w:hAnsi="Times New Roman"/>
          <w:b w:val="0"/>
          <w:bCs w:val="0"/>
          <w:i w:val="0"/>
          <w:iCs w:val="0"/>
          <w:sz w:val="24"/>
          <w:szCs w:val="24"/>
          <w:rtl w:val="0"/>
        </w:rPr>
        <w:t xml:space="preserve">The resolution under the DAE in March of 2025 was the allowance of private exploration of the monazite deposits to non-government actors, while extraction and processing remained exclusively under IREL, a DAE entity.</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9</w:t>
      </w:r>
      <w:r w:rsidDel="00000000" w:rsidR="00000000" w:rsidRPr="00000000">
        <w:rPr>
          <w:rFonts w:ascii="Times New Roman" w:cs="Times New Roman" w:eastAsia="Times New Roman" w:hAnsi="Times New Roman"/>
          <w:b w:val="0"/>
          <w:bCs w:val="0"/>
          <w:i w:val="0"/>
          <w:iCs w:val="0"/>
          <w:sz w:val="24"/>
          <w:szCs w:val="24"/>
          <w:rtl w:val="0"/>
        </w:rPr>
        <w:t xml:space="preserve"> Firms could look, but not touch. Monazite's radioactivity stems from its thorium content, as well as titanite, which is governed under a different regulatory model than the Ministry of Mines' critical mineral initiatives.</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10</w:t>
      </w:r>
      <w:r w:rsidDel="00000000" w:rsidR="00000000" w:rsidRPr="00000000">
        <w:rPr>
          <w:rFonts w:ascii="Times New Roman" w:cs="Times New Roman" w:eastAsia="Times New Roman" w:hAnsi="Times New Roman"/>
          <w:b w:val="0"/>
          <w:bCs w:val="0"/>
          <w:i w:val="0"/>
          <w:iCs w:val="0"/>
          <w:sz w:val="24"/>
          <w:szCs w:val="24"/>
          <w:rtl w:val="0"/>
        </w:rPr>
        <w:t xml:space="preserve"> Because there are different qualities and kinds of minerals, the governance complications under the role of the minerals shift with each location, processing, and corresponding risk. The 13.15 million tonnes of monazite rest rather untapped for exactly that reason.</w:t>
      </w:r>
      <w:r w:rsidDel="00000000" w:rsidR="00000000" w:rsidRPr="00000000">
        <w:rPr>
          <w:rtl w:val="0"/>
        </w:rPr>
      </w:r>
    </w:p>
    <w:p w:rsidR="00000000" w:rsidDel="00000000" w:rsidP="00000000" w:rsidRDefault="00000000" w:rsidRPr="00000000" w14:paraId="000000DC">
      <w:pPr>
        <w:rPr/>
      </w:pPr>
      <w:r w:rsidDel="00000000" w:rsidR="00000000" w:rsidRPr="00000000">
        <w:rPr>
          <w:rFonts w:ascii="Times New Roman" w:cs="Times New Roman" w:eastAsia="Times New Roman" w:hAnsi="Times New Roman"/>
          <w:b w:val="0"/>
          <w:bCs w:val="0"/>
          <w:i w:val="0"/>
          <w:iCs w:val="0"/>
          <w:sz w:val="24"/>
          <w:szCs w:val="24"/>
          <w:rtl w:val="0"/>
        </w:rPr>
        <w:t xml:space="preserve">The value of critical minerals is not purely in extraction; like oil, it must be refined to gain value. In fact, 80-90% of the value of a critical mineral supply chain rests solely in the processing stage, which rests largely outside of India, in China.</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11</w:t>
      </w:r>
      <w:r w:rsidDel="00000000" w:rsidR="00000000" w:rsidRPr="00000000">
        <w:rPr>
          <w:rFonts w:ascii="Times New Roman" w:cs="Times New Roman" w:eastAsia="Times New Roman" w:hAnsi="Times New Roman"/>
          <w:b w:val="0"/>
          <w:bCs w:val="0"/>
          <w:i w:val="0"/>
          <w:iCs w:val="0"/>
          <w:sz w:val="24"/>
          <w:szCs w:val="24"/>
          <w:rtl w:val="0"/>
        </w:rPr>
        <w:t xml:space="preserve"> Domestic processing capacity is limited to low-value chlorides and oxides produced at long-ago built institutions. There is no cutting edge to speak of. This innately pushes India towards exporting raw minerals rather than retaining value domestically through processing of the minerals. Indian industry lacks the extraction technology needed, which only compounds the capital shortfall with technical know-how, to best refine minerals. Because the REE is bottlenecked by the structure of extraction and not a technological problem, it fluctuates with accessibility of jurisdiction, tightening access through the 2016 AMCR threshold on beach-sand mining,</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12</w:t>
      </w:r>
      <w:r w:rsidDel="00000000" w:rsidR="00000000" w:rsidRPr="00000000">
        <w:rPr>
          <w:rFonts w:ascii="Times New Roman" w:cs="Times New Roman" w:eastAsia="Times New Roman" w:hAnsi="Times New Roman"/>
          <w:b w:val="0"/>
          <w:bCs w:val="0"/>
          <w:i w:val="0"/>
          <w:iCs w:val="0"/>
          <w:sz w:val="24"/>
          <w:szCs w:val="24"/>
          <w:rtl w:val="0"/>
        </w:rPr>
        <w:t xml:space="preserve"> a 2019 amendment reducing that threshold to zero, shuttering all mining,</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13</w:t>
      </w:r>
      <w:r w:rsidDel="00000000" w:rsidR="00000000" w:rsidRPr="00000000">
        <w:rPr>
          <w:rFonts w:ascii="Times New Roman" w:cs="Times New Roman" w:eastAsia="Times New Roman" w:hAnsi="Times New Roman"/>
          <w:b w:val="0"/>
          <w:bCs w:val="0"/>
          <w:i w:val="0"/>
          <w:iCs w:val="0"/>
          <w:sz w:val="24"/>
          <w:szCs w:val="24"/>
          <w:rtl w:val="0"/>
        </w:rPr>
        <w:t xml:space="preserve"> and 2025's reopening of the exploration.</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14</w:t>
      </w:r>
      <w:r w:rsidDel="00000000" w:rsidR="00000000" w:rsidRPr="00000000">
        <w:rPr>
          <w:rFonts w:ascii="Times New Roman" w:cs="Times New Roman" w:eastAsia="Times New Roman" w:hAnsi="Times New Roman"/>
          <w:b w:val="0"/>
          <w:bCs w:val="0"/>
          <w:i w:val="0"/>
          <w:iCs w:val="0"/>
          <w:sz w:val="24"/>
          <w:szCs w:val="24"/>
          <w:rtl w:val="0"/>
        </w:rPr>
        <w:t xml:space="preserve"> Strategic resources dependent upon the whim of domestic politics, despite an intensely competitive international pressure on such resources, inherently lead to disadvantages in a shifting domestic landscape, something absent from nations like China, wherein national goals are held as the standard for all governmental officials. The resolution to solve the monazite bottleneck is not more NCMM funding, as it cannot directly access the sands due to their radioactivity; it instead requires legal permits for extraction and processing. The problem is therefore twofold in India: why certain minerals are stuck in bottlenecks. India's logistics and processing capacity costs roughly 7.97% of GDP per the most recent (2025) government assessment — down from the often-cited but since-superseded 13-14% estimate — comparable to the international standard of roughly 8-9%.</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15</w:t>
      </w:r>
      <w:r w:rsidDel="00000000" w:rsidR="00000000" w:rsidRPr="00000000">
        <w:rPr>
          <w:rFonts w:ascii="Times New Roman" w:cs="Times New Roman" w:eastAsia="Times New Roman" w:hAnsi="Times New Roman"/>
          <w:b w:val="0"/>
          <w:bCs w:val="0"/>
          <w:i w:val="0"/>
          <w:iCs w:val="0"/>
          <w:sz w:val="24"/>
          <w:szCs w:val="24"/>
          <w:rtl w:val="0"/>
        </w:rPr>
        <w:t xml:space="preserve"> Such a cost penalty naturally deters involvement in India's near-term processing, and requires assessment of the true value of such plants. Indian port turnaround time and cargo throughput also lag international standards, so transport which connects mining regions to ports serves as a logistical bottleneck, with road and rail expansion subject to repeated delay, historically.</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16</w:t>
      </w:r>
      <w:r w:rsidDel="00000000" w:rsidR="00000000" w:rsidRPr="00000000">
        <w:rPr>
          <w:rFonts w:ascii="Times New Roman" w:cs="Times New Roman" w:eastAsia="Times New Roman" w:hAnsi="Times New Roman"/>
          <w:b w:val="0"/>
          <w:bCs w:val="0"/>
          <w:i w:val="0"/>
          <w:iCs w:val="0"/>
          <w:sz w:val="24"/>
          <w:szCs w:val="24"/>
          <w:rtl w:val="0"/>
        </w:rPr>
        <w:t xml:space="preserve"> The mine-to-manufacturing corridors further decrease the viability of processing in India.</w:t>
      </w:r>
      <w:r w:rsidDel="00000000" w:rsidR="00000000" w:rsidRPr="00000000">
        <w:rPr>
          <w:rtl w:val="0"/>
        </w:rPr>
      </w:r>
    </w:p>
    <w:p w:rsidR="00000000" w:rsidDel="00000000" w:rsidP="00000000" w:rsidRDefault="00000000" w:rsidRPr="00000000" w14:paraId="000000DD">
      <w:pPr>
        <w:rPr/>
      </w:pPr>
      <w:r w:rsidDel="00000000" w:rsidR="00000000" w:rsidRPr="00000000">
        <w:rPr>
          <w:rFonts w:ascii="Times New Roman" w:cs="Times New Roman" w:eastAsia="Times New Roman" w:hAnsi="Times New Roman"/>
          <w:b w:val="0"/>
          <w:bCs w:val="0"/>
          <w:i w:val="0"/>
          <w:iCs w:val="0"/>
          <w:sz w:val="24"/>
          <w:szCs w:val="24"/>
          <w:rtl w:val="0"/>
        </w:rPr>
        <w:t xml:space="preserve">Both constraints on India's processing would need to be resolved before any concrete processing plans can become successful. That said, the direct coordination between the AMCR and DAE would fix one half of the problem; the cost and logistics are quite another issue, despite the NCMM's attempts to resolve them. The fragmentation of jurisdiction creates conflict without a clean resolution, the Ministries of Mines, External Affairs, Commerce and Power require some level of authority over mineral extraction and processing, but must work in tandem. There is no single-window clearance system for mining and processing projects, leading to delays in innovation at present. The clearest instance is, of course, that between the DAE and the Ministry of Mines. Conversely, Malaysia utilizes a licensed-private operator model; Lynas's Pahang refinery does not avoid the radiological constraint monazite poses, but it does display how that constraint can be managed under private operation. Its license, renewed for ten years in March 2026, is conditional on ending production of radioactive Water Leach Purification residue by 2031</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17</w:t>
      </w:r>
      <w:r w:rsidDel="00000000" w:rsidR="00000000" w:rsidRPr="00000000">
        <w:rPr>
          <w:rFonts w:ascii="Times New Roman" w:cs="Times New Roman" w:eastAsia="Times New Roman" w:hAnsi="Times New Roman"/>
          <w:b w:val="0"/>
          <w:bCs w:val="0"/>
          <w:i w:val="0"/>
          <w:iCs w:val="0"/>
          <w:sz w:val="24"/>
          <w:szCs w:val="24"/>
          <w:rtl w:val="0"/>
        </w:rPr>
        <w:t xml:space="preserve"> (Malaysia's Ministry of Science, Technology and Innovation; Associated Press, March 2026). IREL's monopoly model faces the same radiological constraint under different institutional terms, and whether that makes IREL's path faster or slower than Lynas's is exactly the open question this brief turns to next: does the March 2025 AMCR liberalization put India on a faster processing timeline than Malaysia's, or does it risk recreating Malaysia's waste-disposal bottleneck inside a different institutional structure?</w:t>
      </w:r>
      <w:r w:rsidDel="00000000" w:rsidR="00000000" w:rsidRPr="00000000">
        <w:rPr>
          <w:rtl w:val="0"/>
        </w:rPr>
      </w:r>
    </w:p>
    <w:p w:rsidR="00000000" w:rsidDel="00000000" w:rsidP="00000000" w:rsidRDefault="00000000" w:rsidRPr="00000000" w14:paraId="000000DE">
      <w:pPr>
        <w:rPr/>
      </w:pPr>
      <w:r w:rsidDel="00000000" w:rsidR="00000000" w:rsidRPr="00000000">
        <w:rPr>
          <w:rFonts w:ascii="Times New Roman" w:cs="Times New Roman" w:eastAsia="Times New Roman" w:hAnsi="Times New Roman"/>
          <w:b w:val="0"/>
          <w:bCs w:val="0"/>
          <w:i w:val="0"/>
          <w:iCs w:val="0"/>
          <w:sz w:val="24"/>
          <w:szCs w:val="24"/>
          <w:rtl w:val="0"/>
        </w:rPr>
        <w:t xml:space="preserve">The Indian government response to the gap seems substantial, as the NCMM holds a seven-year implementation strategy, a government allocation, as well as additional funds arising from stakeholders and corresponding investment.</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18</w:t>
      </w:r>
      <w:r w:rsidDel="00000000" w:rsidR="00000000" w:rsidRPr="00000000">
        <w:rPr>
          <w:rFonts w:ascii="Times New Roman" w:cs="Times New Roman" w:eastAsia="Times New Roman" w:hAnsi="Times New Roman"/>
          <w:b w:val="0"/>
          <w:bCs w:val="0"/>
          <w:i w:val="0"/>
          <w:iCs w:val="0"/>
          <w:sz w:val="24"/>
          <w:szCs w:val="24"/>
          <w:rtl w:val="0"/>
        </w:rPr>
        <w:t xml:space="preserve"> Additionally, the Union Budget for 2026 and 2027 contained a mine-to-manufacturing strategy of cohesion, named The Dedicated Rare Earth Corridors.</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19</w:t>
      </w:r>
      <w:r w:rsidDel="00000000" w:rsidR="00000000" w:rsidRPr="00000000">
        <w:rPr>
          <w:rFonts w:ascii="Times New Roman" w:cs="Times New Roman" w:eastAsia="Times New Roman" w:hAnsi="Times New Roman"/>
          <w:b w:val="0"/>
          <w:bCs w:val="0"/>
          <w:i w:val="0"/>
          <w:iCs w:val="0"/>
          <w:sz w:val="24"/>
          <w:szCs w:val="24"/>
          <w:rtl w:val="0"/>
        </w:rPr>
        <w:t xml:space="preserve"> Nickel and lithium processing were given even more specific incentives for funding to promote the development of the higher-value minerals.</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20</w:t>
      </w:r>
      <w:r w:rsidDel="00000000" w:rsidR="00000000" w:rsidRPr="00000000">
        <w:rPr>
          <w:rFonts w:ascii="Times New Roman" w:cs="Times New Roman" w:eastAsia="Times New Roman" w:hAnsi="Times New Roman"/>
          <w:b w:val="0"/>
          <w:bCs w:val="0"/>
          <w:i w:val="0"/>
          <w:iCs w:val="0"/>
          <w:sz w:val="24"/>
          <w:szCs w:val="24"/>
          <w:rtl w:val="0"/>
        </w:rPr>
        <w:t xml:space="preserve"> Overall, including a November 2025 agreement which promoted funding to build 6,000 tonnes annual rare earth magnet manufacturing,</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21</w:t>
      </w:r>
      <w:r w:rsidDel="00000000" w:rsidR="00000000" w:rsidRPr="00000000">
        <w:rPr>
          <w:rFonts w:ascii="Times New Roman" w:cs="Times New Roman" w:eastAsia="Times New Roman" w:hAnsi="Times New Roman"/>
          <w:b w:val="0"/>
          <w:bCs w:val="0"/>
          <w:i w:val="0"/>
          <w:iCs w:val="0"/>
          <w:sz w:val="24"/>
          <w:szCs w:val="24"/>
          <w:rtl w:val="0"/>
        </w:rPr>
        <w:t xml:space="preserve"> India seems to have attempted a stronger approach to creating domestic cohesion. Specific sites have been established in Odisha, Kerala, Andhra Pradesh and Tamil Nadu, coastal states which correspondingly contain beach sand monazite deposits.</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22</w:t>
      </w:r>
      <w:r w:rsidDel="00000000" w:rsidR="00000000" w:rsidRPr="00000000">
        <w:rPr>
          <w:rFonts w:ascii="Times New Roman" w:cs="Times New Roman" w:eastAsia="Times New Roman" w:hAnsi="Times New Roman"/>
          <w:b w:val="0"/>
          <w:bCs w:val="0"/>
          <w:i w:val="0"/>
          <w:iCs w:val="0"/>
          <w:sz w:val="24"/>
          <w:szCs w:val="24"/>
          <w:rtl w:val="0"/>
        </w:rPr>
        <w:t xml:space="preserve"> These all fall under only one jurisdiction though: the Ministry of Mines. What it lacks is institutional cohesion between the DAE minerals and the Ministry of Mines organizations. The question therefore is if the NCMM fund even touches the atomic minerals.</w:t>
      </w:r>
      <w:r w:rsidDel="00000000" w:rsidR="00000000" w:rsidRPr="00000000">
        <w:rPr>
          <w:rtl w:val="0"/>
        </w:rPr>
      </w:r>
    </w:p>
    <w:p w:rsidR="00000000" w:rsidDel="00000000" w:rsidP="00000000" w:rsidRDefault="00000000" w:rsidRPr="00000000" w14:paraId="000000DF">
      <w:pPr>
        <w:rPr/>
      </w:pPr>
      <w:r w:rsidDel="00000000" w:rsidR="00000000" w:rsidRPr="00000000">
        <w:rPr>
          <w:rFonts w:ascii="Times New Roman" w:cs="Times New Roman" w:eastAsia="Times New Roman" w:hAnsi="Times New Roman"/>
          <w:b w:val="0"/>
          <w:bCs w:val="0"/>
          <w:i w:val="0"/>
          <w:iCs w:val="0"/>
          <w:sz w:val="24"/>
          <w:szCs w:val="24"/>
          <w:rtl w:val="0"/>
        </w:rPr>
        <w:t xml:space="preserve">Monazite-derived REE production remains firmly in the hands of IREL, aforementioned under the DAE. The Atomic Minerals Directorate for Exploration and Research carries out the specific funding of mineral processing and extraction projects, as well as holding the restrictions of such extraction tightly. As such, monazite falls under the DAE and DAE alone. So the NCMM flagship funding does not touch any DAE resources; and so despite the innovative funding for processing, the issue remains firmly as it did before, a split between the domestic distribution of rare minerals and their futures. Furthermore, the messy logistics further complicate the funding split, as the Dedicated Rare Earth Corridors are sited around the same coastal states which hold the bulk of India's monazite beach sands. As such, the two organizations are rubbing shoulders in extraction and research, with no jurisdictional agreement or understanding. IREL's existing output of ilmenite, rutile, zircon and other non-atomic minerals has seen extraction in the region,</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23</w:t>
      </w:r>
      <w:r w:rsidDel="00000000" w:rsidR="00000000" w:rsidRPr="00000000">
        <w:rPr>
          <w:rFonts w:ascii="Times New Roman" w:cs="Times New Roman" w:eastAsia="Times New Roman" w:hAnsi="Times New Roman"/>
          <w:b w:val="0"/>
          <w:bCs w:val="0"/>
          <w:i w:val="0"/>
          <w:iCs w:val="0"/>
          <w:sz w:val="24"/>
          <w:szCs w:val="24"/>
          <w:rtl w:val="0"/>
        </w:rPr>
        <w:t xml:space="preserve"> it is the specific avoidance of the radioactive minerals which creates the tension in the regions with high monazite content. The corridors and monazite stream are adjacent, as such, the minerals contained within the 13.15 million tonnes of monazite and the other rare earth oxides therein cannot be accessed or extracted. The result is locked-down minerals that are not radioactive, but happen to be surrounded by monazite sands, and as such sit useless while the world fights over rare minerals. Nations which seek to exploit the seafloor to access minerals have an easier path to the resources than the Indian extraction sites mere miles away from the rare earths. The issue of jurisdiction is not simply domestic confusion in the industry, but a functional loss of potential.</w:t>
      </w:r>
      <w:r w:rsidDel="00000000" w:rsidR="00000000" w:rsidRPr="00000000">
        <w:rPr>
          <w:rtl w:val="0"/>
        </w:rPr>
      </w:r>
    </w:p>
    <w:p w:rsidR="00000000" w:rsidDel="00000000" w:rsidP="00000000" w:rsidRDefault="00000000" w:rsidRPr="00000000" w14:paraId="000000E0">
      <w:pPr>
        <w:rPr/>
      </w:pPr>
      <w:r w:rsidDel="00000000" w:rsidR="00000000" w:rsidRPr="00000000">
        <w:rPr>
          <w:rFonts w:ascii="Times New Roman" w:cs="Times New Roman" w:eastAsia="Times New Roman" w:hAnsi="Times New Roman"/>
          <w:b w:val="0"/>
          <w:bCs w:val="0"/>
          <w:i w:val="0"/>
          <w:iCs w:val="0"/>
          <w:sz w:val="24"/>
          <w:szCs w:val="24"/>
          <w:rtl w:val="0"/>
        </w:rPr>
        <w:t xml:space="preserve">In September 2025, the DAE petitioned the Environment Ministry to exempt thorium extraction and uranium mining from public consultation requirements, framed as necessary "to facilitate early operationalisation of mining projects"; a CSTEP researcher characterized the move as a signal of more private partnership to come in the nuclear space.</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24</w:t>
      </w:r>
      <w:r w:rsidDel="00000000" w:rsidR="00000000" w:rsidRPr="00000000">
        <w:rPr>
          <w:rFonts w:ascii="Times New Roman" w:cs="Times New Roman" w:eastAsia="Times New Roman" w:hAnsi="Times New Roman"/>
          <w:b w:val="0"/>
          <w:bCs w:val="0"/>
          <w:i w:val="0"/>
          <w:iCs w:val="0"/>
          <w:sz w:val="24"/>
          <w:szCs w:val="24"/>
          <w:rtl w:val="0"/>
        </w:rPr>
        <w:t xml:space="preserve"> Such was a step toward liberalization but not the functional creation of it; steps towards a project do not equate to a completed project. As such, no public reporting documents any actual extraction or processing under the March 2025 expansion, whereas IREL's own next capacity addition, a monazite processing plant at Gudur in Andhra Pradesh with 10,000 tonnes of annual capacity, remains a state-run facility slated for commissioning in 2026, not a private one.</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25</w:t>
      </w:r>
      <w:r w:rsidDel="00000000" w:rsidR="00000000" w:rsidRPr="00000000">
        <w:rPr>
          <w:rFonts w:ascii="Times New Roman" w:cs="Times New Roman" w:eastAsia="Times New Roman" w:hAnsi="Times New Roman"/>
          <w:b w:val="0"/>
          <w:bCs w:val="0"/>
          <w:i w:val="0"/>
          <w:iCs w:val="0"/>
          <w:sz w:val="24"/>
          <w:szCs w:val="24"/>
          <w:rtl w:val="0"/>
        </w:rPr>
        <w:t xml:space="preserve"> Therefore, this lock on minerals is present despite attempted reform, and the exploration of monazite, while beneficial, is nowhere near as valuable as extraction or processing, which create real wealth.</w:t>
      </w:r>
      <w:r w:rsidDel="00000000" w:rsidR="00000000" w:rsidRPr="00000000">
        <w:rPr>
          <w:rtl w:val="0"/>
        </w:rPr>
      </w:r>
    </w:p>
    <w:p w:rsidR="00000000" w:rsidDel="00000000" w:rsidP="00000000" w:rsidRDefault="00000000" w:rsidRPr="00000000" w14:paraId="000000E1">
      <w:pPr>
        <w:rPr/>
      </w:pPr>
      <w:r w:rsidDel="00000000" w:rsidR="00000000" w:rsidRPr="00000000">
        <w:rPr>
          <w:rFonts w:ascii="Times New Roman" w:cs="Times New Roman" w:eastAsia="Times New Roman" w:hAnsi="Times New Roman"/>
          <w:b w:val="0"/>
          <w:bCs w:val="0"/>
          <w:i w:val="0"/>
          <w:iCs w:val="0"/>
          <w:sz w:val="24"/>
          <w:szCs w:val="24"/>
          <w:rtl w:val="0"/>
        </w:rPr>
        <w:t xml:space="preserve">Should commercial-scale domestic processing follow the NCMM seven-year plan, while the REE remains for that duration outside of the NCMM funds, then India functions as a long-term diversification partner in that it will retain resources, but not a short-term solution for the West to escape dependence upon China's hold on critical minerals. Western sourcing thereby should assume that India will remain a long-term strategic partner in resources, but not a short-term remedy to the geopolitical tensions of the present. The corresponding relevance of critical minerals in that timeline is also unclear, as it is possible technologies adapt and change as a result of critical mineral inaccessibility. The two mineral streams are fundamentally on different timelines; lithium and nickel processing, under the incentive scheme, is an unencumbered extraction plan which will be carried out without complication. A Western trading partner is able to trade with India for such minerals under the Ministry of Mines without problem, the long term complications arise with minerals such as monazite and those directly around the beach sands, due to the role of AMCR and DAE control. The Malaysian Lynas plant by contrast, has remained functional since 2012, and has been renewed until 2036; keyly under a requirement of 2031 waste reduction.</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26</w:t>
      </w:r>
      <w:r w:rsidDel="00000000" w:rsidR="00000000" w:rsidRPr="00000000">
        <w:rPr>
          <w:rFonts w:ascii="Times New Roman" w:cs="Times New Roman" w:eastAsia="Times New Roman" w:hAnsi="Times New Roman"/>
          <w:b w:val="0"/>
          <w:bCs w:val="0"/>
          <w:i w:val="0"/>
          <w:iCs w:val="0"/>
          <w:sz w:val="24"/>
          <w:szCs w:val="24"/>
          <w:rtl w:val="0"/>
        </w:rPr>
        <w:t xml:space="preserve"> India, by contrast, has no comparable operations, and the March 2025 reforms do not halt the potential issues with extraction; they only delay the benefits. Extraction under requirements is a more effective solution by providing access to minerals which can readily enter the market; an establishment of processing plants through funding, and a positive cash flow for the regions. The role of mere observation and exploration achieves very little in long-term atomic security, while raising the risk of critical mineral scarcity as a result of Chinese-controlled mineral processing.</w:t>
      </w:r>
      <w:r w:rsidDel="00000000" w:rsidR="00000000" w:rsidRPr="00000000">
        <w:rPr>
          <w:rtl w:val="0"/>
        </w:rPr>
      </w:r>
    </w:p>
    <w:p w:rsidR="00000000" w:rsidDel="00000000" w:rsidP="00000000" w:rsidRDefault="00000000" w:rsidRPr="00000000" w14:paraId="000000E2">
      <w:pPr>
        <w:rPr/>
      </w:pPr>
      <w:r w:rsidDel="00000000" w:rsidR="00000000" w:rsidRPr="00000000">
        <w:rPr>
          <w:rFonts w:ascii="Times New Roman" w:cs="Times New Roman" w:eastAsia="Times New Roman" w:hAnsi="Times New Roman"/>
          <w:b w:val="0"/>
          <w:bCs w:val="0"/>
          <w:i w:val="0"/>
          <w:iCs w:val="0"/>
          <w:sz w:val="24"/>
          <w:szCs w:val="24"/>
          <w:rtl w:val="0"/>
        </w:rPr>
        <w:t xml:space="preserve">The planning recommendation that follows is straightforward: Western partners should treat India as a complement to, rather than a near-term replacement for, existing Chinese processing dependency, and should calibrate procurement and investment expectations to the two-track timeline described throughout this brief. Should any major changes occur in policy or organization of the institutions and the corresponding extraction of beach sands, then a reconsideration should be corresponding.</w:t>
      </w:r>
      <w:r w:rsidDel="00000000" w:rsidR="00000000" w:rsidRPr="00000000">
        <w:rPr>
          <w:rtl w:val="0"/>
        </w:rPr>
      </w:r>
    </w:p>
    <w:p w:rsidR="00000000" w:rsidDel="00000000" w:rsidP="00000000" w:rsidRDefault="00000000" w:rsidRPr="00000000" w14:paraId="000000E3">
      <w:pPr>
        <w:rPr/>
      </w:pPr>
      <w:r w:rsidDel="00000000" w:rsidR="00000000" w:rsidRPr="00000000">
        <w:rPr>
          <w:rFonts w:ascii="Times New Roman" w:cs="Times New Roman" w:eastAsia="Times New Roman" w:hAnsi="Times New Roman"/>
          <w:b w:val="0"/>
          <w:bCs w:val="0"/>
          <w:i w:val="0"/>
          <w:iCs w:val="0"/>
          <w:sz w:val="24"/>
          <w:szCs w:val="24"/>
          <w:rtl w:val="0"/>
        </w:rPr>
        <w:t xml:space="preserve">Chokepoints are the way of the modern world: competition, processing, wealth absorption, and geostrategy reconcile in a singular strategy of control. All strategies fundamentally come down to that world: control; nonetheless, chokepoints are an effective and efficient strategy to limit and control adversaries. Critical minerals serve as a vital chokepoint which China grips tightly through processing capability; while India possesses minerals, it lacks that processing capability. While the nation is slowly building that capacity, it ultimately must rectify the division of resources between the DAE and NCMM funds to provide the best of both worlds. The Western powers must treat India as a short- and long term asset for such capabilities, an untapped mineral deposit, but one which requires action to be able to produce actual output.</w:t>
      </w:r>
      <w:r w:rsidDel="00000000" w:rsidR="00000000" w:rsidRPr="00000000">
        <w:rPr>
          <w:rtl w:val="0"/>
        </w:rPr>
      </w:r>
    </w:p>
    <w:p w:rsidR="00000000" w:rsidDel="00000000" w:rsidP="00000000" w:rsidRDefault="00000000" w:rsidRPr="00000000" w14:paraId="000000E4">
      <w:pPr>
        <w:rPr/>
      </w:pPr>
      <w:r w:rsidDel="00000000" w:rsidR="00000000" w:rsidRPr="00000000">
        <w:br w:type="page"/>
      </w:r>
      <w:r w:rsidDel="00000000" w:rsidR="00000000" w:rsidRPr="00000000">
        <w:rPr>
          <w:rtl w:val="0"/>
        </w:rPr>
      </w:r>
    </w:p>
    <w:p w:rsidR="00000000" w:rsidDel="00000000" w:rsidP="00000000" w:rsidRDefault="00000000" w:rsidRPr="00000000" w14:paraId="000000E5">
      <w:pPr>
        <w:pStyle w:val="Heading1"/>
        <w:pBdr>
          <w:bottom w:color="1b3a5c" w:space="4" w:sz="6" w:val="single"/>
        </w:pBdr>
        <w:spacing w:after="200" w:before="300" w:line="276" w:lineRule="auto"/>
        <w:rPr/>
      </w:pPr>
      <w:r w:rsidDel="00000000" w:rsidR="00000000" w:rsidRPr="00000000">
        <w:rPr>
          <w:rFonts w:ascii="Times New Roman" w:cs="Times New Roman" w:eastAsia="Times New Roman" w:hAnsi="Times New Roman"/>
          <w:b w:val="1"/>
          <w:bCs w:val="1"/>
          <w:i w:val="0"/>
          <w:iCs w:val="0"/>
          <w:sz w:val="30"/>
          <w:szCs w:val="30"/>
          <w:rtl w:val="0"/>
        </w:rPr>
        <w:t xml:space="preserve">Putting a Price on Legitimacy: Private Security Companies, Critical Minerals, and China</w:t>
      </w:r>
      <w:r w:rsidDel="00000000" w:rsidR="00000000" w:rsidRPr="00000000">
        <w:rPr>
          <w:rtl w:val="0"/>
        </w:rPr>
      </w:r>
    </w:p>
    <w:p w:rsidR="00000000" w:rsidDel="00000000" w:rsidP="00000000" w:rsidRDefault="00000000" w:rsidRPr="00000000" w14:paraId="000000E6">
      <w:pPr>
        <w:rPr/>
      </w:pPr>
      <w:r w:rsidDel="00000000" w:rsidR="00000000" w:rsidRPr="00000000">
        <w:rPr>
          <w:rFonts w:ascii="Times New Roman" w:cs="Times New Roman" w:eastAsia="Times New Roman" w:hAnsi="Times New Roman"/>
          <w:b w:val="0"/>
          <w:bCs w:val="0"/>
          <w:i w:val="1"/>
          <w:iCs w:val="1"/>
          <w:sz w:val="24"/>
          <w:szCs w:val="24"/>
          <w:rtl w:val="0"/>
        </w:rPr>
        <w:t xml:space="preserve">David Cristiano Aguado, J.M. Lindstrom</w:t>
      </w:r>
      <w:r w:rsidDel="00000000" w:rsidR="00000000" w:rsidRPr="00000000">
        <w:rPr>
          <w:rtl w:val="0"/>
        </w:rPr>
      </w:r>
    </w:p>
    <w:p w:rsidR="00000000" w:rsidDel="00000000" w:rsidP="00000000" w:rsidRDefault="00000000" w:rsidRPr="00000000" w14:paraId="000000E7">
      <w:pPr>
        <w:rPr/>
      </w:pPr>
      <w:r w:rsidDel="00000000" w:rsidR="00000000" w:rsidRPr="00000000">
        <w:rPr>
          <w:rFonts w:ascii="Times New Roman" w:cs="Times New Roman" w:eastAsia="Times New Roman" w:hAnsi="Times New Roman"/>
          <w:b w:val="0"/>
          <w:bCs w:val="0"/>
          <w:i w:val="0"/>
          <w:iCs w:val="0"/>
          <w:sz w:val="24"/>
          <w:szCs w:val="24"/>
          <w:rtl w:val="0"/>
        </w:rPr>
        <w:t xml:space="preserve">The eight decades that followed the end of the "Century of Humiliation" taught China a clear lesson about its foreign conduct: the country's recovery of image and identity has never rested on militarism, but on adapting Confucian tradition to a new era and playing, with caution, patience, and persistence, the card that rules the world today, namely trade. Abundant labor and the development of complex industrial ecosystems propelled China into becoming the world's largest exporter and manufacturer. Yet Beijing also recognizes its own structural and geographic vulnerabilities, along with the opportunities that could offset them. This is precisely why the Belt and Road Initiative began taking shape in 2013, as a global infrastructure and trade-route development project spanning numerous regions, designed to extend Chinese dominance through commerce. As Eduard White (2026) reported for the Financial Times, total BRI deals rose to a record high of $126.3 billion in the first half of 2026, against a backdrop dominated by energy and natural resources.</w:t>
      </w:r>
      <w:r w:rsidDel="00000000" w:rsidR="00000000" w:rsidRPr="00000000">
        <w:rPr>
          <w:rtl w:val="0"/>
        </w:rPr>
      </w:r>
    </w:p>
    <w:p w:rsidR="00000000" w:rsidDel="00000000" w:rsidP="00000000" w:rsidRDefault="00000000" w:rsidRPr="00000000" w14:paraId="000000E8">
      <w:pPr>
        <w:rPr/>
      </w:pPr>
      <w:r w:rsidDel="00000000" w:rsidR="00000000" w:rsidRPr="00000000">
        <w:rPr>
          <w:rFonts w:ascii="Times New Roman" w:cs="Times New Roman" w:eastAsia="Times New Roman" w:hAnsi="Times New Roman"/>
          <w:b w:val="0"/>
          <w:bCs w:val="0"/>
          <w:i w:val="0"/>
          <w:iCs w:val="0"/>
          <w:sz w:val="24"/>
          <w:szCs w:val="24"/>
          <w:rtl w:val="0"/>
        </w:rPr>
        <w:t xml:space="preserve">When the economic volume at stake grows this large, protecting that commercial flow becomes essential, which raises an unavoidable question: how does a country defined by military non-intervention abroad protect infrastructure generating such high returns across other continents, and does that protection inevitably generate, through money alone, something no foreign armed force could ever purchase outright?</w:t>
      </w:r>
      <w:r w:rsidDel="00000000" w:rsidR="00000000" w:rsidRPr="00000000">
        <w:rPr>
          <w:rtl w:val="0"/>
        </w:rPr>
      </w:r>
    </w:p>
    <w:p w:rsidR="00000000" w:rsidDel="00000000" w:rsidP="00000000" w:rsidRDefault="00000000" w:rsidRPr="00000000" w14:paraId="000000E9">
      <w:pPr>
        <w:rPr/>
      </w:pPr>
      <w:r w:rsidDel="00000000" w:rsidR="00000000" w:rsidRPr="00000000">
        <w:rPr>
          <w:rFonts w:ascii="Times New Roman" w:cs="Times New Roman" w:eastAsia="Times New Roman" w:hAnsi="Times New Roman"/>
          <w:b w:val="0"/>
          <w:bCs w:val="0"/>
          <w:i w:val="0"/>
          <w:iCs w:val="0"/>
          <w:sz w:val="24"/>
          <w:szCs w:val="24"/>
          <w:rtl w:val="0"/>
        </w:rPr>
        <w:t xml:space="preserve">China's long-standing non-interference policy redirects its protection efforts for overseas infrastructure and citizens toward Private Security Companies (PSCs). The 2009 Regulation on the Administration of Security and Guarding Services requires, specifically for PSCs licensed to provide armed escort services, that they be "wholly state-owned or have state-owned capital accounting for at least 51 percent of their total registered capital" (Jiabao 2009).</w:t>
      </w:r>
      <w:r w:rsidDel="00000000" w:rsidR="00000000" w:rsidRPr="00000000">
        <w:rPr>
          <w:rtl w:val="0"/>
        </w:rPr>
      </w:r>
    </w:p>
    <w:p w:rsidR="00000000" w:rsidDel="00000000" w:rsidP="00000000" w:rsidRDefault="00000000" w:rsidRPr="00000000" w14:paraId="000000EA">
      <w:pPr>
        <w:rPr/>
      </w:pPr>
      <w:r w:rsidDel="00000000" w:rsidR="00000000" w:rsidRPr="00000000">
        <w:rPr>
          <w:rFonts w:ascii="Times New Roman" w:cs="Times New Roman" w:eastAsia="Times New Roman" w:hAnsi="Times New Roman"/>
          <w:b w:val="0"/>
          <w:bCs w:val="0"/>
          <w:i w:val="0"/>
          <w:iCs w:val="0"/>
          <w:sz w:val="24"/>
          <w:szCs w:val="24"/>
          <w:rtl w:val="0"/>
        </w:rPr>
        <w:t xml:space="preserve">The clearest examples of these PSCs are Frontier Services Group and DeWe. The former, founded in 2014 by Erik Prince, the former head of Blackwater (now known as Academi) and an earlier investor in mining and oil ventures in Guinea and South Sudan (Fisher et al. 2018), now sits under the effective influence of CITIC Group, a conglomerate wholly owned by the State Council of the People's Republic of China, which holds an indirect stake of roughly 25 percent in the company's share capital (Frontier Services Group 2026). The CITIC subsidiary through which much of that commercial relationship runs is itself wholly owned by the State Council, confirming the underlying chain of state control even where FSG's own ownership remains partial. In 2017, FSG acquired a 25 percent stake in a Chinese security school, offering unarmed training in close protection and anti-kidnapping response while brokering the supply of armed personnel to licensed subcontractors (Martina 2017). As Aleksandra Virginski (2026) reports, the company is also involved in protecting billion-dollar copper mining investments in South Africa directly tied to the BRI.</w:t>
      </w:r>
      <w:r w:rsidDel="00000000" w:rsidR="00000000" w:rsidRPr="00000000">
        <w:rPr>
          <w:rtl w:val="0"/>
        </w:rPr>
      </w:r>
    </w:p>
    <w:p w:rsidR="00000000" w:rsidDel="00000000" w:rsidP="00000000" w:rsidRDefault="00000000" w:rsidRPr="00000000" w14:paraId="000000EB">
      <w:pPr>
        <w:rPr/>
      </w:pPr>
      <w:r w:rsidDel="00000000" w:rsidR="00000000" w:rsidRPr="00000000">
        <w:rPr>
          <w:rFonts w:ascii="Times New Roman" w:cs="Times New Roman" w:eastAsia="Times New Roman" w:hAnsi="Times New Roman"/>
          <w:b w:val="0"/>
          <w:bCs w:val="0"/>
          <w:i w:val="0"/>
          <w:iCs w:val="0"/>
          <w:sz w:val="24"/>
          <w:szCs w:val="24"/>
          <w:rtl w:val="0"/>
        </w:rPr>
        <w:t xml:space="preserve">A former Blackwater founder running a private firm, one which, like many of China's imperative firms for geopolitical influence, is in fact state-controlled, indicates that China is oriented around creating a private army the way the US developed Blackwater. FSG allows Beijing to outsource risk from direct governmental ties. The same pattern exists in the Chinese state-affiliated banks, mining and refining companies, research teams in the deep seas, and universities. If the government is able to utilize civil-military fusion not only in the companies extracting resources, but also to act as a private army-for-hire, then the CCP is able to take actions without geopolitical fallout. The nation, under the guise of a company, is able to act internationally as a military force; in the private sector, so that there is no loss of governmental legitimacy. Beijing struck against the US by absorbing private industry risks and costs in Balochistan; this is a reflection of the same strategy, wherein Beijing is insulated from its own actions by utilizing proxies in the form of private companies. Additionally, FSG is so high-risk due to the fact that it puts a Western face on a state security instrument; a private military company designed for combat without state affiliation.</w:t>
      </w:r>
      <w:r w:rsidDel="00000000" w:rsidR="00000000" w:rsidRPr="00000000">
        <w:rPr>
          <w:rtl w:val="0"/>
        </w:rPr>
      </w:r>
    </w:p>
    <w:p w:rsidR="00000000" w:rsidDel="00000000" w:rsidP="00000000" w:rsidRDefault="00000000" w:rsidRPr="00000000" w14:paraId="000000EC">
      <w:pPr>
        <w:rPr/>
      </w:pPr>
      <w:r w:rsidDel="00000000" w:rsidR="00000000" w:rsidRPr="00000000">
        <w:rPr>
          <w:rFonts w:ascii="Times New Roman" w:cs="Times New Roman" w:eastAsia="Times New Roman" w:hAnsi="Times New Roman"/>
          <w:b w:val="0"/>
          <w:bCs w:val="0"/>
          <w:i w:val="0"/>
          <w:iCs w:val="0"/>
          <w:sz w:val="24"/>
          <w:szCs w:val="24"/>
          <w:rtl w:val="0"/>
        </w:rPr>
        <w:t xml:space="preserve">DeWe, for its part, has completed roughly 3,000 training contracts with African partners and trained 70,000 of its own contractors, operating across the Democratic Republic of Congo, Cameroon, Chad, Nigeria, Djibouti, and Ethiopia (Ersozoglu 2021). In Kenya, it maintains more than 2,000 personnel guarding the $3.8 billion Mombasa-Nairobi railway, having first trained local forces along the line (Virginski 2026). In July 2016, it evacuated more than 300 workers from Juba in coordination with the South Sudanese government (Calabrese 2026), echoing a pattern already visible in 2012, when Chinese PSCs took part in rescuing 29 kidnapped workers in Sudan (Ersozoglu 2021). The establishment of these policies in the past indicates a pattern that is designed to repeat with the furthering of the FSG as a PFC; the trajectory provides a clear warning sign that China is seeking to defend its national interests with force. It starts with infrastructure and investment; it ends with a permanent army in the region. China's Global South initiative is built on the backs of weaker powers, such as those in Central Asia, to take advantage of what those nations need, while imposing what China requires from those nations. Securing such interests with force is only a natural progression of the same logic. At Blackwater USA's peak in Iraq, it deployed 1,000 contractors, while only 16 were stationed in Afghanistan. China, by contrast, possesses 70,000 contractors. 70 times the US PMC's involvement at its height.</w:t>
      </w:r>
      <w:r w:rsidDel="00000000" w:rsidR="00000000" w:rsidRPr="00000000">
        <w:rPr>
          <w:rtl w:val="0"/>
        </w:rPr>
      </w:r>
    </w:p>
    <w:p w:rsidR="00000000" w:rsidDel="00000000" w:rsidP="00000000" w:rsidRDefault="00000000" w:rsidRPr="00000000" w14:paraId="000000ED">
      <w:pPr>
        <w:rPr/>
      </w:pPr>
      <w:r w:rsidDel="00000000" w:rsidR="00000000" w:rsidRPr="00000000">
        <w:rPr>
          <w:rFonts w:ascii="Times New Roman" w:cs="Times New Roman" w:eastAsia="Times New Roman" w:hAnsi="Times New Roman"/>
          <w:b w:val="0"/>
          <w:bCs w:val="0"/>
          <w:i w:val="0"/>
          <w:iCs w:val="0"/>
          <w:sz w:val="24"/>
          <w:szCs w:val="24"/>
          <w:rtl w:val="0"/>
        </w:rPr>
        <w:t xml:space="preserve">These firms operate strictly according to a logic of profit and contractual ties with national and local governments, which means the legitimacy they acquire flows exclusively through state channels. This generates institutional dependency within the host state's security apparatus, which surrenders part of its sovereignty in exchange for resources or training, and in doing so becomes reliant on China, gradually eroding its own capacity for self-protection. Yet even where these PSCs present themselves as purely passive service providers, their conduct carries real weight for the local populations among whom they operate; as Valerio Fabbri (2022) documents, these communities are frequently exposed to abuse and mistreatment. Compounding this, the hiring or creation of local militias in the mining sector further erodes the security and authority of these states and feeds a mercenary culture long familiar across Africa (Fabbri 2022). Chinese extension of power through force in military units which possess the actual firepower the nation's government does not, provides a clear tool for Chinese influence. Here is a private army that is organized, controlled, trained, and powerful, in a nation which lacks organization of forces in the exact way the army provides. The roles of power and legitimacy are not only for international relations; they exist on the national level- the presence of a more powerful, more legitimate force occupying a majority of a nation is just that: an occupation. Security is only security until it progresses into force; a gun holds the same potential whether it is for defense or offense. Additionally, they work directly with local militaries and police forces, and likely are able to curry favor in such a way.</w:t>
      </w:r>
      <w:r w:rsidDel="00000000" w:rsidR="00000000" w:rsidRPr="00000000">
        <w:rPr>
          <w:rtl w:val="0"/>
        </w:rPr>
      </w:r>
    </w:p>
    <w:p w:rsidR="00000000" w:rsidDel="00000000" w:rsidP="00000000" w:rsidRDefault="00000000" w:rsidRPr="00000000" w14:paraId="000000EE">
      <w:pPr>
        <w:rPr/>
      </w:pPr>
      <w:r w:rsidDel="00000000" w:rsidR="00000000" w:rsidRPr="00000000">
        <w:rPr>
          <w:rFonts w:ascii="Times New Roman" w:cs="Times New Roman" w:eastAsia="Times New Roman" w:hAnsi="Times New Roman"/>
          <w:b w:val="0"/>
          <w:bCs w:val="0"/>
          <w:i w:val="0"/>
          <w:iCs w:val="0"/>
          <w:sz w:val="24"/>
          <w:szCs w:val="24"/>
          <w:rtl w:val="0"/>
        </w:rPr>
        <w:t xml:space="preserve">There is one notable exception to this expansion of Chinese PSCs. In Pakistan, China Overseas Security Group went so far as to form a joint venture with a Pakistani security firm tied to the Pakistani Navy, yet it is in Balochistan where China has run into resistance from separatists along the China-Pakistan Economic Corridor, or CPEC (Manohar Parrikar Institute for Defence Studies and Analyses 2025). Historically restive, Balochistan is the poorest region in the country despite being among the richest in energy resources and mineral routes, and it functions as an obligatory passage for the CPEC through Gwadar port (Paredes 2024). Chinese analysts strongly urged Beijing to deepen ties with local communities rather than dealing solely with the central government (Gibson 2020), but popular discontent, together with a rise in attacks on Chinese workers, many of them claimed by the Balochistan Liberation Army as a direct rejection of the Chinese presence in the region, served as a clear signal that Beijing needed to extend its negotiations beyond purely contractual arrangements with governments. As a result, China is now pressing Pakistan to demonstrate military authority to protect the CPEC, and its PSCs appear eager to establish a presence in the region, though no official confirmation of such deployment has yet emerged.</w:t>
      </w:r>
      <w:r w:rsidDel="00000000" w:rsidR="00000000" w:rsidRPr="00000000">
        <w:rPr>
          <w:rtl w:val="0"/>
        </w:rPr>
      </w:r>
    </w:p>
    <w:p w:rsidR="00000000" w:rsidDel="00000000" w:rsidP="00000000" w:rsidRDefault="00000000" w:rsidRPr="00000000" w14:paraId="000000EF">
      <w:pPr>
        <w:rPr/>
      </w:pPr>
      <w:r w:rsidDel="00000000" w:rsidR="00000000" w:rsidRPr="00000000">
        <w:rPr>
          <w:rFonts w:ascii="Times New Roman" w:cs="Times New Roman" w:eastAsia="Times New Roman" w:hAnsi="Times New Roman"/>
          <w:b w:val="0"/>
          <w:bCs w:val="0"/>
          <w:i w:val="0"/>
          <w:iCs w:val="0"/>
          <w:sz w:val="24"/>
          <w:szCs w:val="24"/>
          <w:rtl w:val="0"/>
        </w:rPr>
        <w:t xml:space="preserve">Beijing has pressed Pakistan to provide military protection, something which falls in line with Pakistani governmental authority and claims, the result is therefore China creating added pressure within a nation it is using as a host. This is not a reflection of a cap on the PSC model, but instead a reflection of China utilizing resources only where it has to. If there is no strategic benefit to deployment, and it instead reflects poorly upon the local government, and another nation, such would only serve to benefit China. The less legitimacy another nation has, the more leverage China has over that nation. The continued pressure on Islamabad has resulted in Pakistani deployment of troops to ensure the security of the extraction sites in Pakistan, nonetheless, Chinese PSC intervention elsewhere is present.</w:t>
      </w:r>
      <w:r w:rsidDel="00000000" w:rsidR="00000000" w:rsidRPr="00000000">
        <w:rPr>
          <w:rtl w:val="0"/>
        </w:rPr>
      </w:r>
    </w:p>
    <w:p w:rsidR="00000000" w:rsidDel="00000000" w:rsidP="00000000" w:rsidRDefault="00000000" w:rsidRPr="00000000" w14:paraId="000000F0">
      <w:pPr>
        <w:rPr/>
      </w:pPr>
      <w:r w:rsidDel="00000000" w:rsidR="00000000" w:rsidRPr="00000000">
        <w:rPr>
          <w:rFonts w:ascii="Times New Roman" w:cs="Times New Roman" w:eastAsia="Times New Roman" w:hAnsi="Times New Roman"/>
          <w:b w:val="0"/>
          <w:bCs w:val="0"/>
          <w:i w:val="0"/>
          <w:iCs w:val="0"/>
          <w:sz w:val="24"/>
          <w:szCs w:val="24"/>
          <w:rtl w:val="0"/>
        </w:rPr>
        <w:t xml:space="preserve">Ultimately, popular reception turns out to be just another variable in the equation of legitimacy. Outsourcing security to private firms is not a foolproof strategy, though neither is it easily broken. What matters, then, is recognizing that even when this legitimacy is built from above, it still requires the tacit consent of those below. Money alone cannot purchase legitimacy, nonetheless China has been able to purchase power and leverage, the tools of legitimacy. It is legitimacy which follows that power which bleeds into the international forum, which provides a worldwide influence that goes far beyond force. Beyond China, the role of private military and security companies, as well as private companies under national directions, reflects a tool that exists only in a globalized world. If the public and private sectors bleed into each other in international forums; if nations hide behind corporations, a concern quickly arises as to the </w:t>
      </w:r>
      <w:r w:rsidDel="00000000" w:rsidR="00000000" w:rsidRPr="00000000">
        <w:rPr>
          <w:sz w:val="24"/>
          <w:szCs w:val="24"/>
          <w:rtl w:val="0"/>
        </w:rPr>
        <w:t xml:space="preserve">determinants</w:t>
      </w:r>
      <w:r w:rsidDel="00000000" w:rsidR="00000000" w:rsidRPr="00000000">
        <w:rPr>
          <w:rFonts w:ascii="Times New Roman" w:cs="Times New Roman" w:eastAsia="Times New Roman" w:hAnsi="Times New Roman"/>
          <w:b w:val="0"/>
          <w:bCs w:val="0"/>
          <w:i w:val="0"/>
          <w:iCs w:val="0"/>
          <w:sz w:val="24"/>
          <w:szCs w:val="24"/>
          <w:rtl w:val="0"/>
        </w:rPr>
        <w:t xml:space="preserve"> of legitimacy, and the risk of not a state running a corporation, but of a corporation running a state.</w:t>
      </w:r>
      <w:r w:rsidDel="00000000" w:rsidR="00000000" w:rsidRPr="00000000">
        <w:rPr>
          <w:rtl w:val="0"/>
        </w:rPr>
      </w:r>
    </w:p>
    <w:p w:rsidR="00000000" w:rsidDel="00000000" w:rsidP="00000000" w:rsidRDefault="00000000" w:rsidRPr="00000000" w14:paraId="000000F1">
      <w:pPr>
        <w:rPr/>
      </w:pPr>
      <w:r w:rsidDel="00000000" w:rsidR="00000000" w:rsidRPr="00000000">
        <w:br w:type="page"/>
      </w:r>
      <w:r w:rsidDel="00000000" w:rsidR="00000000" w:rsidRPr="00000000">
        <w:rPr>
          <w:rtl w:val="0"/>
        </w:rPr>
      </w:r>
    </w:p>
    <w:p w:rsidR="00000000" w:rsidDel="00000000" w:rsidP="00000000" w:rsidRDefault="00000000" w:rsidRPr="00000000" w14:paraId="000000F2">
      <w:pPr>
        <w:pStyle w:val="Heading1"/>
        <w:pBdr>
          <w:bottom w:color="1b3a5c" w:space="4" w:sz="6" w:val="single"/>
        </w:pBdr>
        <w:spacing w:after="200" w:before="300" w:line="276" w:lineRule="auto"/>
        <w:rPr/>
      </w:pPr>
      <w:r w:rsidDel="00000000" w:rsidR="00000000" w:rsidRPr="00000000">
        <w:rPr>
          <w:rFonts w:ascii="Times New Roman" w:cs="Times New Roman" w:eastAsia="Times New Roman" w:hAnsi="Times New Roman"/>
          <w:b w:val="1"/>
          <w:bCs w:val="1"/>
          <w:i w:val="0"/>
          <w:iCs w:val="0"/>
          <w:sz w:val="30"/>
          <w:szCs w:val="30"/>
          <w:rtl w:val="0"/>
        </w:rPr>
        <w:t xml:space="preserve">Pearl Divers No Longer: China's Civil-Military Fusion in Critical Mineral Deep-Sea Extraction</w:t>
      </w:r>
      <w:r w:rsidDel="00000000" w:rsidR="00000000" w:rsidRPr="00000000">
        <w:rPr>
          <w:rtl w:val="0"/>
        </w:rPr>
      </w:r>
    </w:p>
    <w:p w:rsidR="00000000" w:rsidDel="00000000" w:rsidP="00000000" w:rsidRDefault="00000000" w:rsidRPr="00000000" w14:paraId="000000F3">
      <w:pPr>
        <w:rPr/>
      </w:pPr>
      <w:r w:rsidDel="00000000" w:rsidR="00000000" w:rsidRPr="00000000">
        <w:rPr>
          <w:rFonts w:ascii="Times New Roman" w:cs="Times New Roman" w:eastAsia="Times New Roman" w:hAnsi="Times New Roman"/>
          <w:b w:val="0"/>
          <w:bCs w:val="0"/>
          <w:i w:val="1"/>
          <w:iCs w:val="1"/>
          <w:sz w:val="24"/>
          <w:szCs w:val="24"/>
          <w:rtl w:val="0"/>
        </w:rPr>
        <w:t xml:space="preserve">Jack Lindstrom</w:t>
      </w:r>
      <w:r w:rsidDel="00000000" w:rsidR="00000000" w:rsidRPr="00000000">
        <w:rPr>
          <w:rtl w:val="0"/>
        </w:rPr>
      </w:r>
    </w:p>
    <w:p w:rsidR="00000000" w:rsidDel="00000000" w:rsidP="00000000" w:rsidRDefault="00000000" w:rsidRPr="00000000" w14:paraId="000000F4">
      <w:pPr>
        <w:rPr/>
      </w:pPr>
      <w:r w:rsidDel="00000000" w:rsidR="00000000" w:rsidRPr="00000000">
        <w:rPr>
          <w:rFonts w:ascii="Times New Roman" w:cs="Times New Roman" w:eastAsia="Times New Roman" w:hAnsi="Times New Roman"/>
          <w:b w:val="0"/>
          <w:bCs w:val="0"/>
          <w:i w:val="0"/>
          <w:iCs w:val="0"/>
          <w:sz w:val="24"/>
          <w:szCs w:val="24"/>
          <w:rtl w:val="0"/>
        </w:rPr>
        <w:t xml:space="preserve">Among the abyssal plane of the world's oceans rests gold. Great riches, lain just out of reach. Clusters of these rare elements and minerals bind to one another as they tumble with the tides through the dark undercurrents, piling into small bundles. The asphodelic atmosphere of the lifeless region where sunshine dares not venture acts as a cloud of darkness.</w:t>
      </w:r>
      <w:r w:rsidDel="00000000" w:rsidR="00000000" w:rsidRPr="00000000">
        <w:rPr>
          <w:rtl w:val="0"/>
        </w:rPr>
      </w:r>
    </w:p>
    <w:p w:rsidR="00000000" w:rsidDel="00000000" w:rsidP="00000000" w:rsidRDefault="00000000" w:rsidRPr="00000000" w14:paraId="000000F5">
      <w:pPr>
        <w:rPr/>
      </w:pPr>
      <w:r w:rsidDel="00000000" w:rsidR="00000000" w:rsidRPr="00000000">
        <w:rPr>
          <w:rFonts w:ascii="Times New Roman" w:cs="Times New Roman" w:eastAsia="Times New Roman" w:hAnsi="Times New Roman"/>
          <w:b w:val="0"/>
          <w:bCs w:val="0"/>
          <w:i w:val="0"/>
          <w:iCs w:val="0"/>
          <w:sz w:val="24"/>
          <w:szCs w:val="24"/>
          <w:rtl w:val="0"/>
        </w:rPr>
        <w:t xml:space="preserve">Yet over these rolling hills of tenebrous wealth, a rover sweeps past, consuming all in its path. The Seafloor Crawler Eureka II is the name of this unique piece of machinery, which rests on the ocean floor, collecting Polymetallic Nodules</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1</w:t>
      </w:r>
      <w:r w:rsidDel="00000000" w:rsidR="00000000" w:rsidRPr="00000000">
        <w:rPr>
          <w:rFonts w:ascii="Times New Roman" w:cs="Times New Roman" w:eastAsia="Times New Roman" w:hAnsi="Times New Roman"/>
          <w:b w:val="0"/>
          <w:bCs w:val="0"/>
          <w:i w:val="0"/>
          <w:iCs w:val="0"/>
          <w:sz w:val="24"/>
          <w:szCs w:val="24"/>
          <w:rtl w:val="0"/>
        </w:rPr>
        <w:t xml:space="preserve">. Eureka II is the rover of only one of nine different US companies attempting to expand and extract critical minerals and nodules from the deep sea</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2</w:t>
      </w:r>
      <w:r w:rsidDel="00000000" w:rsidR="00000000" w:rsidRPr="00000000">
        <w:rPr>
          <w:rFonts w:ascii="Times New Roman" w:cs="Times New Roman" w:eastAsia="Times New Roman" w:hAnsi="Times New Roman"/>
          <w:b w:val="0"/>
          <w:bCs w:val="0"/>
          <w:i w:val="0"/>
          <w:iCs w:val="0"/>
          <w:sz w:val="24"/>
          <w:szCs w:val="24"/>
          <w:rtl w:val="0"/>
        </w:rPr>
        <w:t xml:space="preserve">. China, by contrast, possesses three main corporations, which in turn control twenty-nine entities, including research institutes, universities, and manufacturers</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3</w:t>
      </w:r>
      <w:r w:rsidDel="00000000" w:rsidR="00000000" w:rsidRPr="00000000">
        <w:rPr>
          <w:rFonts w:ascii="Times New Roman" w:cs="Times New Roman" w:eastAsia="Times New Roman" w:hAnsi="Times New Roman"/>
          <w:b w:val="0"/>
          <w:bCs w:val="0"/>
          <w:i w:val="0"/>
          <w:iCs w:val="0"/>
          <w:sz w:val="24"/>
          <w:szCs w:val="24"/>
          <w:rtl w:val="0"/>
        </w:rPr>
        <w:t xml:space="preserve">. The US is a scattered group of nine critical mineral veins; China is a cluster of nodules. The difference in the organization of the industry is largely due to state control, or a lack thereof. The US simply issues permits and leases to these companies; as such, they are highly contested, and competition to gain such contracts is fierce, as well as highly lucrative. Additionally, due to the high technicality and expenses of the endeavor, the barrier to entry is high for US companies. The result of this is only one model, the aforementioned Eureka family of design; a family tree with one branch: down. China has more diversity of design, in large part due to the complex network of research, design, and development coordinated under COMRA and its affiliated institutes</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4</w:t>
      </w:r>
      <w:r w:rsidDel="00000000" w:rsidR="00000000" w:rsidRPr="00000000">
        <w:rPr>
          <w:rFonts w:ascii="Times New Roman" w:cs="Times New Roman" w:eastAsia="Times New Roman" w:hAnsi="Times New Roman"/>
          <w:b w:val="0"/>
          <w:bCs w:val="0"/>
          <w:i w:val="0"/>
          <w:iCs w:val="0"/>
          <w:sz w:val="24"/>
          <w:szCs w:val="24"/>
          <w:rtl w:val="0"/>
        </w:rPr>
        <w:t xml:space="preserve">; there is a consolidation of information. The developments established by one university or institute then become part of a pool; at present, that pool of mutual technology and information supports a substantial and growing fleet of deep-sea mining research vessels and state-funded robotic crawlers</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5</w:t>
      </w:r>
      <w:r w:rsidDel="00000000" w:rsidR="00000000" w:rsidRPr="00000000">
        <w:rPr>
          <w:rFonts w:ascii="Times New Roman" w:cs="Times New Roman" w:eastAsia="Times New Roman" w:hAnsi="Times New Roman"/>
          <w:b w:val="0"/>
          <w:bCs w:val="0"/>
          <w:i w:val="0"/>
          <w:iCs w:val="0"/>
          <w:sz w:val="24"/>
          <w:szCs w:val="24"/>
          <w:rtl w:val="0"/>
        </w:rPr>
        <w:t xml:space="preserve">.</w:t>
      </w:r>
      <w:r w:rsidDel="00000000" w:rsidR="00000000" w:rsidRPr="00000000">
        <w:rPr>
          <w:rtl w:val="0"/>
        </w:rPr>
      </w:r>
    </w:p>
    <w:p w:rsidR="00000000" w:rsidDel="00000000" w:rsidP="00000000" w:rsidRDefault="00000000" w:rsidRPr="00000000" w14:paraId="000000F6">
      <w:pPr>
        <w:rPr/>
      </w:pPr>
      <w:r w:rsidDel="00000000" w:rsidR="00000000" w:rsidRPr="00000000">
        <w:rPr>
          <w:rFonts w:ascii="Times New Roman" w:cs="Times New Roman" w:eastAsia="Times New Roman" w:hAnsi="Times New Roman"/>
          <w:b w:val="0"/>
          <w:bCs w:val="0"/>
          <w:i w:val="0"/>
          <w:iCs w:val="0"/>
          <w:sz w:val="24"/>
          <w:szCs w:val="24"/>
          <w:rtl w:val="0"/>
        </w:rPr>
        <w:t xml:space="preserve">For thousands of years, the peoples of the Persian Gulf, Japan, and India held their breath, as waves broke over them and currents pulled them to and fro. It was a career, this pummeling by the ocean; for when they arose, with buckets tied around their necks, they held riches. Pearls, collected from the sands of the ocean. The water which seems so welcoming- a clear cerulean surface, rippling with white lining, like lace- just the same applied pressure to the heads of these divers, their lungs straining under a single breath, sixty-five feet deep. Bitter work under the beauty of the sea. Extraction of critical minerals is no different; there is risk, there is danger, but there is rich reward. The geopolitical leverage of critical minerals is best reflected not when it is present but when it is absent; China's restriction of rare earth elements and metals to the US in response to 145% tariffs, striking at the heart of the US market</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6</w:t>
      </w:r>
      <w:r w:rsidDel="00000000" w:rsidR="00000000" w:rsidRPr="00000000">
        <w:rPr>
          <w:rFonts w:ascii="Times New Roman" w:cs="Times New Roman" w:eastAsia="Times New Roman" w:hAnsi="Times New Roman"/>
          <w:b w:val="0"/>
          <w:bCs w:val="0"/>
          <w:i w:val="0"/>
          <w:iCs w:val="0"/>
          <w:sz w:val="24"/>
          <w:szCs w:val="24"/>
          <w:rtl w:val="0"/>
        </w:rPr>
        <w:t xml:space="preserve">. It is becoming increasingly common knowledge how vital critical minerals are, for everything from aircraft carriers and nuclear submarines to items as small as a cellphone, or the microchip within it, running it. Nations are held up by pillars; for some nations it is energy or geography, for others it is technology; the US has many pillars; however, one of the strongest is technology and military- a tap which can be turned off at the whim of China.</w:t>
      </w:r>
      <w:r w:rsidDel="00000000" w:rsidR="00000000" w:rsidRPr="00000000">
        <w:rPr>
          <w:rtl w:val="0"/>
        </w:rPr>
      </w:r>
    </w:p>
    <w:p w:rsidR="00000000" w:rsidDel="00000000" w:rsidP="00000000" w:rsidRDefault="00000000" w:rsidRPr="00000000" w14:paraId="000000F7">
      <w:pPr>
        <w:rPr/>
      </w:pPr>
      <w:r w:rsidDel="00000000" w:rsidR="00000000" w:rsidRPr="00000000">
        <w:rPr>
          <w:rFonts w:ascii="Times New Roman" w:cs="Times New Roman" w:eastAsia="Times New Roman" w:hAnsi="Times New Roman"/>
          <w:b w:val="0"/>
          <w:bCs w:val="0"/>
          <w:i w:val="0"/>
          <w:iCs w:val="0"/>
          <w:sz w:val="24"/>
          <w:szCs w:val="24"/>
          <w:rtl w:val="0"/>
        </w:rPr>
        <w:t xml:space="preserve">Critical minerals serve as a direct and clear chokepoint over which China holds leverage and is aware of. Their role is prominent on the world stage to all nations; from Switzerland's Glencore in the Democratic Republic of Congo (DRC) to the EU Critical Raw Materials Act, to the Lithium Triangle of South America</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7</w:t>
      </w:r>
      <w:r w:rsidDel="00000000" w:rsidR="00000000" w:rsidRPr="00000000">
        <w:rPr>
          <w:rFonts w:ascii="Times New Roman" w:cs="Times New Roman" w:eastAsia="Times New Roman" w:hAnsi="Times New Roman"/>
          <w:b w:val="0"/>
          <w:bCs w:val="0"/>
          <w:i w:val="0"/>
          <w:iCs w:val="0"/>
          <w:sz w:val="24"/>
          <w:szCs w:val="24"/>
          <w:rtl w:val="0"/>
        </w:rPr>
        <w:t xml:space="preserve">. However, nations without direct deposits of minerals, or those hesitant to extract them in the short term, seek to expand outward. Critical minerals are a zero-sum game; the more the opponent has, the less the ally is able to have. As such, the more minerals claimed for each nation, the better. In turn, the selling of these minerals to corporations is incredibly lucrative, meaning capital inflow due to extraction. The result therefore is not only an expansion into the last unclaimed spaces, the ocean, due to a lack of domestic product, but also to prevent strategic enemies from possessing the same resources.</w:t>
      </w:r>
      <w:r w:rsidDel="00000000" w:rsidR="00000000" w:rsidRPr="00000000">
        <w:rPr>
          <w:rtl w:val="0"/>
        </w:rPr>
      </w:r>
    </w:p>
    <w:p w:rsidR="00000000" w:rsidDel="00000000" w:rsidP="00000000" w:rsidRDefault="00000000" w:rsidRPr="00000000" w14:paraId="000000F8">
      <w:pPr>
        <w:rPr/>
      </w:pPr>
      <w:r w:rsidDel="00000000" w:rsidR="00000000" w:rsidRPr="00000000">
        <w:rPr>
          <w:rFonts w:ascii="Times New Roman" w:cs="Times New Roman" w:eastAsia="Times New Roman" w:hAnsi="Times New Roman"/>
          <w:b w:val="0"/>
          <w:bCs w:val="0"/>
          <w:i w:val="0"/>
          <w:iCs w:val="0"/>
          <w:sz w:val="24"/>
          <w:szCs w:val="24"/>
          <w:rtl w:val="0"/>
        </w:rPr>
        <w:t xml:space="preserve">In December 2023, the State Department published the outer limits of the US Extended Continental Shelf, one twice the size of California</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8</w:t>
      </w:r>
      <w:r w:rsidDel="00000000" w:rsidR="00000000" w:rsidRPr="00000000">
        <w:rPr>
          <w:rFonts w:ascii="Times New Roman" w:cs="Times New Roman" w:eastAsia="Times New Roman" w:hAnsi="Times New Roman"/>
          <w:b w:val="0"/>
          <w:bCs w:val="0"/>
          <w:i w:val="0"/>
          <w:iCs w:val="0"/>
          <w:sz w:val="24"/>
          <w:szCs w:val="24"/>
          <w:rtl w:val="0"/>
        </w:rPr>
        <w:t xml:space="preserve">. Roughly a million square kilometers, across seven offshore regions from the Arctic to the Gulf of Mexico, a two-decade campaign of cartography came to a close</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9</w:t>
      </w:r>
      <w:r w:rsidDel="00000000" w:rsidR="00000000" w:rsidRPr="00000000">
        <w:rPr>
          <w:rFonts w:ascii="Times New Roman" w:cs="Times New Roman" w:eastAsia="Times New Roman" w:hAnsi="Times New Roman"/>
          <w:b w:val="0"/>
          <w:bCs w:val="0"/>
          <w:i w:val="0"/>
          <w:iCs w:val="0"/>
          <w:sz w:val="24"/>
          <w:szCs w:val="24"/>
          <w:rtl w:val="0"/>
        </w:rPr>
        <w:t xml:space="preserve">. Of that claim, one specific region is particularly valuable. The Chukchi Borderland, with roughly 96% of this area falling on the US extended shelf, as well as 74% of the Canada Basin</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10</w:t>
      </w:r>
      <w:r w:rsidDel="00000000" w:rsidR="00000000" w:rsidRPr="00000000">
        <w:rPr>
          <w:rFonts w:ascii="Times New Roman" w:cs="Times New Roman" w:eastAsia="Times New Roman" w:hAnsi="Times New Roman"/>
          <w:b w:val="0"/>
          <w:bCs w:val="0"/>
          <w:i w:val="0"/>
          <w:iCs w:val="0"/>
          <w:sz w:val="24"/>
          <w:szCs w:val="24"/>
          <w:rtl w:val="0"/>
        </w:rPr>
        <w:t xml:space="preserve">. Three years later, in January of 2026, the Bureau of Ocean Energy Management (BOEM) moved from mapping to strategic action, publishing a Federal Register request for information toward a lease sale covering over 113 million acres of Alaska's outer continental shelf, with explicit naming of the Canada Basin and Chukchi Borderland among target areas</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11</w:t>
      </w:r>
      <w:r w:rsidDel="00000000" w:rsidR="00000000" w:rsidRPr="00000000">
        <w:rPr>
          <w:rFonts w:ascii="Times New Roman" w:cs="Times New Roman" w:eastAsia="Times New Roman" w:hAnsi="Times New Roman"/>
          <w:b w:val="0"/>
          <w:bCs w:val="0"/>
          <w:i w:val="0"/>
          <w:iCs w:val="0"/>
          <w:sz w:val="24"/>
          <w:szCs w:val="24"/>
          <w:rtl w:val="0"/>
        </w:rPr>
        <w:t xml:space="preserve">. The United Nations Convention on the Law of the Sea (UNCLOS) has a smaller provision within it, a clause to implement the Law of the Sea practically with clear borders. The solution was continental shelves, thus creating the Commission on the Limits of the Continental Shelf (CLCS); the CLCS is utilized at present by Russia and Canada to uncover and negotiate regions of the Arctic the nations contest</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12</w:t>
      </w:r>
      <w:r w:rsidDel="00000000" w:rsidR="00000000" w:rsidRPr="00000000">
        <w:rPr>
          <w:rFonts w:ascii="Times New Roman" w:cs="Times New Roman" w:eastAsia="Times New Roman" w:hAnsi="Times New Roman"/>
          <w:b w:val="0"/>
          <w:bCs w:val="0"/>
          <w:i w:val="0"/>
          <w:iCs w:val="0"/>
          <w:sz w:val="24"/>
          <w:szCs w:val="24"/>
          <w:rtl w:val="0"/>
        </w:rPr>
        <w:t xml:space="preserve">. Correspondingly, the United States, with its newfound claim, is able to assert rights over the extended continental shelf off Alaska, without having submitted that claim to the CLCS, since it is not an UNCLOS party.</w:t>
      </w:r>
      <w:r w:rsidDel="00000000" w:rsidR="00000000" w:rsidRPr="00000000">
        <w:rPr>
          <w:rtl w:val="0"/>
        </w:rPr>
      </w:r>
    </w:p>
    <w:p w:rsidR="00000000" w:rsidDel="00000000" w:rsidP="00000000" w:rsidRDefault="00000000" w:rsidRPr="00000000" w14:paraId="000000F9">
      <w:pPr>
        <w:rPr/>
      </w:pPr>
      <w:r w:rsidDel="00000000" w:rsidR="00000000" w:rsidRPr="00000000">
        <w:rPr>
          <w:rFonts w:ascii="Times New Roman" w:cs="Times New Roman" w:eastAsia="Times New Roman" w:hAnsi="Times New Roman"/>
          <w:b w:val="0"/>
          <w:bCs w:val="0"/>
          <w:i w:val="0"/>
          <w:iCs w:val="0"/>
          <w:sz w:val="24"/>
          <w:szCs w:val="24"/>
          <w:rtl w:val="0"/>
        </w:rPr>
        <w:t xml:space="preserve">Dawn rises above ice floes, drifting among the deep blue waters of the Bering Strait. The warmth within the Fairweather provides a retreat from the harsh and bitter cold of the exposed deck; the crew gathers around particleboard tables on steel chairs, jackets thrown over the backs and seats for insulation from the cold metal. The National Oceanic and Atmospheric Administration (NOAA)'s vessel rests in these waters, white-capped not with waves but ice, with its frost-caked machinery, to run bathymetric transects through pack ice</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13</w:t>
      </w:r>
      <w:r w:rsidDel="00000000" w:rsidR="00000000" w:rsidRPr="00000000">
        <w:rPr>
          <w:rFonts w:ascii="Times New Roman" w:cs="Times New Roman" w:eastAsia="Times New Roman" w:hAnsi="Times New Roman"/>
          <w:b w:val="0"/>
          <w:bCs w:val="0"/>
          <w:i w:val="0"/>
          <w:iCs w:val="0"/>
          <w:sz w:val="24"/>
          <w:szCs w:val="24"/>
          <w:rtl w:val="0"/>
        </w:rPr>
        <w:t xml:space="preserve">. For over a decade, the Fairweather has returned to these waters, mapping a seafloor which belongs to no one. There are no pearls in these waters, just the pale ice, bobbing up and down in the waves and the wake of the ship. Nearly a decade later, however, such a map would be of critical importance, as then came the 2023 announcement which granted the US relief from a critical mineral chokepoint, without a single treaty signature needed. Although the US never ratified UNCLOS, it was a member state of the Arctic Five, a coastal denomination of the Arctic Council including only states with an Arctic coastline, which, in 2008's Ilulissat conference, signed a declaration acknowledging UNCLOS as the appropriate legal framework for the Arctic Ocean, forestalling any need for a new comprehensive regime</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14</w:t>
      </w:r>
      <w:r w:rsidDel="00000000" w:rsidR="00000000" w:rsidRPr="00000000">
        <w:rPr>
          <w:rFonts w:ascii="Times New Roman" w:cs="Times New Roman" w:eastAsia="Times New Roman" w:hAnsi="Times New Roman"/>
          <w:b w:val="0"/>
          <w:bCs w:val="0"/>
          <w:i w:val="0"/>
          <w:iCs w:val="0"/>
          <w:sz w:val="24"/>
          <w:szCs w:val="24"/>
          <w:rtl w:val="0"/>
        </w:rPr>
        <w:t xml:space="preserve">. As such, the US exists in a legal limbo: never formally signing onto UNCLOS, but signing onto a declaration premised on UNCLOS</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15</w:t>
      </w:r>
      <w:r w:rsidDel="00000000" w:rsidR="00000000" w:rsidRPr="00000000">
        <w:rPr>
          <w:rFonts w:ascii="Times New Roman" w:cs="Times New Roman" w:eastAsia="Times New Roman" w:hAnsi="Times New Roman"/>
          <w:b w:val="0"/>
          <w:bCs w:val="0"/>
          <w:i w:val="0"/>
          <w:iCs w:val="0"/>
          <w:sz w:val="24"/>
          <w:szCs w:val="24"/>
          <w:rtl w:val="0"/>
        </w:rPr>
        <w:t xml:space="preserve">.</w:t>
      </w:r>
      <w:r w:rsidDel="00000000" w:rsidR="00000000" w:rsidRPr="00000000">
        <w:rPr>
          <w:rtl w:val="0"/>
        </w:rPr>
      </w:r>
    </w:p>
    <w:p w:rsidR="00000000" w:rsidDel="00000000" w:rsidP="00000000" w:rsidRDefault="00000000" w:rsidRPr="00000000" w14:paraId="000000FA">
      <w:pPr>
        <w:rPr/>
      </w:pPr>
      <w:r w:rsidDel="00000000" w:rsidR="00000000" w:rsidRPr="00000000">
        <w:rPr>
          <w:rFonts w:ascii="Times New Roman" w:cs="Times New Roman" w:eastAsia="Times New Roman" w:hAnsi="Times New Roman"/>
          <w:b w:val="0"/>
          <w:bCs w:val="0"/>
          <w:i w:val="0"/>
          <w:iCs w:val="0"/>
          <w:sz w:val="24"/>
          <w:szCs w:val="24"/>
          <w:rtl w:val="0"/>
        </w:rPr>
        <w:t xml:space="preserve">The extended continental shelf (ECS) claim is not weak due to any geological fault or flaw; it is instead contested precisely because the US asserts it as a non-party to UNCLOS. Russia in particular objected to the US expansion for that very reason</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16</w:t>
      </w:r>
      <w:r w:rsidDel="00000000" w:rsidR="00000000" w:rsidRPr="00000000">
        <w:rPr>
          <w:rFonts w:ascii="Times New Roman" w:cs="Times New Roman" w:eastAsia="Times New Roman" w:hAnsi="Times New Roman"/>
          <w:b w:val="0"/>
          <w:bCs w:val="0"/>
          <w:i w:val="0"/>
          <w:iCs w:val="0"/>
          <w:sz w:val="24"/>
          <w:szCs w:val="24"/>
          <w:rtl w:val="0"/>
        </w:rPr>
        <w:t xml:space="preserve">; this is despite the fact that Russia has on numerous occasions been accused of violating UNCLOS obligations elsewhere, including in its conduct during the Kerch Strait Bridge project and the Russo-Ukrainian War</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17</w:t>
      </w:r>
      <w:r w:rsidDel="00000000" w:rsidR="00000000" w:rsidRPr="00000000">
        <w:rPr>
          <w:rFonts w:ascii="Times New Roman" w:cs="Times New Roman" w:eastAsia="Times New Roman" w:hAnsi="Times New Roman"/>
          <w:b w:val="0"/>
          <w:bCs w:val="0"/>
          <w:i w:val="0"/>
          <w:iCs w:val="0"/>
          <w:sz w:val="24"/>
          <w:szCs w:val="24"/>
          <w:rtl w:val="0"/>
        </w:rPr>
        <w:t xml:space="preserve">. Additionally, Russia has been accused of violating UNCLOS in the construction of gas and oil pipelines, as well as power cables. Ukraine also has accused Russia of violating UNCLOS by seizing Ukrainian offshore gas-extraction drilling rigs, the “Boyko Towers”, as well as resources within Ukraine's Exclusive Economic Zone (EEZ) near Crimea. Within International Seabed Authority (ISA) sessions, Russia has directly accused the US of undermining UNCLOS through the extension of the continental shelf for deep-sea mineral extraction</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18</w:t>
      </w:r>
      <w:r w:rsidDel="00000000" w:rsidR="00000000" w:rsidRPr="00000000">
        <w:rPr>
          <w:rFonts w:ascii="Times New Roman" w:cs="Times New Roman" w:eastAsia="Times New Roman" w:hAnsi="Times New Roman"/>
          <w:b w:val="0"/>
          <w:bCs w:val="0"/>
          <w:i w:val="0"/>
          <w:iCs w:val="0"/>
          <w:sz w:val="24"/>
          <w:szCs w:val="24"/>
          <w:rtl w:val="0"/>
        </w:rPr>
        <w:t xml:space="preserve">.</w:t>
      </w:r>
      <w:r w:rsidDel="00000000" w:rsidR="00000000" w:rsidRPr="00000000">
        <w:rPr>
          <w:rtl w:val="0"/>
        </w:rPr>
      </w:r>
    </w:p>
    <w:p w:rsidR="00000000" w:rsidDel="00000000" w:rsidP="00000000" w:rsidRDefault="00000000" w:rsidRPr="00000000" w14:paraId="000000FB">
      <w:pPr>
        <w:rPr/>
      </w:pPr>
      <w:r w:rsidDel="00000000" w:rsidR="00000000" w:rsidRPr="00000000">
        <w:rPr>
          <w:rFonts w:ascii="Times New Roman" w:cs="Times New Roman" w:eastAsia="Times New Roman" w:hAnsi="Times New Roman"/>
          <w:b w:val="0"/>
          <w:bCs w:val="0"/>
          <w:i w:val="0"/>
          <w:iCs w:val="0"/>
          <w:sz w:val="24"/>
          <w:szCs w:val="24"/>
          <w:rtl w:val="0"/>
        </w:rPr>
        <w:t xml:space="preserve">Russia is not alone in these claims, however, as Beijing has made similar arguments within the ISA in Kingston, where Chinese state media has cast UNCLOS as a bulwark against “maritime hegemony,” language directed implicitly at Washington's unilateral approach to its ECS claim</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19</w:t>
      </w:r>
      <w:r w:rsidDel="00000000" w:rsidR="00000000" w:rsidRPr="00000000">
        <w:rPr>
          <w:rFonts w:ascii="Times New Roman" w:cs="Times New Roman" w:eastAsia="Times New Roman" w:hAnsi="Times New Roman"/>
          <w:b w:val="0"/>
          <w:bCs w:val="0"/>
          <w:i w:val="0"/>
          <w:iCs w:val="0"/>
          <w:sz w:val="24"/>
          <w:szCs w:val="24"/>
          <w:rtl w:val="0"/>
        </w:rPr>
        <w:t xml:space="preserve">. China in turn has established institutional standing within the ISA, holding five of the ISA's thirty-one exploration contract areas, the most of any state, while also serving among the Authority's largest financial contributors</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20</w:t>
      </w:r>
      <w:r w:rsidDel="00000000" w:rsidR="00000000" w:rsidRPr="00000000">
        <w:rPr>
          <w:rFonts w:ascii="Times New Roman" w:cs="Times New Roman" w:eastAsia="Times New Roman" w:hAnsi="Times New Roman"/>
          <w:b w:val="0"/>
          <w:bCs w:val="0"/>
          <w:i w:val="0"/>
          <w:iCs w:val="0"/>
          <w:sz w:val="24"/>
          <w:szCs w:val="24"/>
          <w:rtl w:val="0"/>
        </w:rPr>
        <w:t xml:space="preserve">,</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21</w:t>
      </w:r>
      <w:r w:rsidDel="00000000" w:rsidR="00000000" w:rsidRPr="00000000">
        <w:rPr>
          <w:rFonts w:ascii="Times New Roman" w:cs="Times New Roman" w:eastAsia="Times New Roman" w:hAnsi="Times New Roman"/>
          <w:b w:val="0"/>
          <w:bCs w:val="0"/>
          <w:i w:val="0"/>
          <w:iCs w:val="0"/>
          <w:sz w:val="24"/>
          <w:szCs w:val="24"/>
          <w:rtl w:val="0"/>
        </w:rPr>
        <w:t xml:space="preserve">. As such, China acts with legitimacy and influence within an organization the US has never joined; the US, however, cannot simply ignore the ISA, the Arctic Council, or UNCLOS; institutional legitimacy remains part of the price of leadership.</w:t>
      </w:r>
      <w:r w:rsidDel="00000000" w:rsidR="00000000" w:rsidRPr="00000000">
        <w:rPr>
          <w:rtl w:val="0"/>
        </w:rPr>
      </w:r>
    </w:p>
    <w:p w:rsidR="00000000" w:rsidDel="00000000" w:rsidP="00000000" w:rsidRDefault="00000000" w:rsidRPr="00000000" w14:paraId="000000FC">
      <w:pPr>
        <w:rPr/>
      </w:pPr>
      <w:r w:rsidDel="00000000" w:rsidR="00000000" w:rsidRPr="00000000">
        <w:rPr>
          <w:rFonts w:ascii="Times New Roman" w:cs="Times New Roman" w:eastAsia="Times New Roman" w:hAnsi="Times New Roman"/>
          <w:b w:val="0"/>
          <w:bCs w:val="0"/>
          <w:i w:val="0"/>
          <w:iCs w:val="0"/>
          <w:sz w:val="24"/>
          <w:szCs w:val="24"/>
          <w:rtl w:val="0"/>
        </w:rPr>
        <w:t xml:space="preserve">Since 2022, Russia and China have conducted joint naval patrols and operations in the Bering Sea with increasing regularity</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22</w:t>
      </w:r>
      <w:r w:rsidDel="00000000" w:rsidR="00000000" w:rsidRPr="00000000">
        <w:rPr>
          <w:rFonts w:ascii="Times New Roman" w:cs="Times New Roman" w:eastAsia="Times New Roman" w:hAnsi="Times New Roman"/>
          <w:b w:val="0"/>
          <w:bCs w:val="0"/>
          <w:i w:val="0"/>
          <w:iCs w:val="0"/>
          <w:sz w:val="24"/>
          <w:szCs w:val="24"/>
          <w:rtl w:val="0"/>
        </w:rPr>
        <w:t xml:space="preserve">, and in 2024 conducted a joint aerial strategic patrol that entered the Alaska Air Defense Identification Zone. The US Coast Guard (USCG) has observed the course of these patrols and their slow, steady creep northbound; in late September 2024, a Kodiak-based HC-130J tracked two Russian Border Guard vessels and two Chinese Coast Guard ships approximately 440 miles southwest of St. Lawrence Island, transiting roughly five miles inside Russia's Exclusive Economic Zone</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23</w:t>
      </w:r>
      <w:r w:rsidDel="00000000" w:rsidR="00000000" w:rsidRPr="00000000">
        <w:rPr>
          <w:rFonts w:ascii="Times New Roman" w:cs="Times New Roman" w:eastAsia="Times New Roman" w:hAnsi="Times New Roman"/>
          <w:b w:val="0"/>
          <w:bCs w:val="0"/>
          <w:i w:val="0"/>
          <w:iCs w:val="0"/>
          <w:sz w:val="24"/>
          <w:szCs w:val="24"/>
          <w:rtl w:val="0"/>
        </w:rPr>
        <w:t xml:space="preserve">. This marked the northernmost position at which Chinese Coast Guard vessels had been observed by the USCG. Rear Admiral Megan Dean, commander of the 17th Coast Guard District, observed that the encounter “demonstrates the increased interest in the Arctic by our strategic competitors"</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24</w:t>
      </w:r>
      <w:r w:rsidDel="00000000" w:rsidR="00000000" w:rsidRPr="00000000">
        <w:rPr>
          <w:rFonts w:ascii="Times New Roman" w:cs="Times New Roman" w:eastAsia="Times New Roman" w:hAnsi="Times New Roman"/>
          <w:b w:val="0"/>
          <w:bCs w:val="0"/>
          <w:i w:val="0"/>
          <w:iCs w:val="0"/>
          <w:sz w:val="24"/>
          <w:szCs w:val="24"/>
          <w:rtl w:val="0"/>
        </w:rPr>
        <w:t xml:space="preserve">. In the months that followed, further encounters between Chinese and Russian vessels and the USCG continued along the Aleutians and in the Bering Sea</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25</w:t>
      </w:r>
      <w:r w:rsidDel="00000000" w:rsidR="00000000" w:rsidRPr="00000000">
        <w:rPr>
          <w:rFonts w:ascii="Times New Roman" w:cs="Times New Roman" w:eastAsia="Times New Roman" w:hAnsi="Times New Roman"/>
          <w:b w:val="0"/>
          <w:bCs w:val="0"/>
          <w:i w:val="0"/>
          <w:iCs w:val="0"/>
          <w:sz w:val="24"/>
          <w:szCs w:val="24"/>
          <w:rtl w:val="0"/>
        </w:rPr>
        <w:t xml:space="preserve">. The region is volatile; the US claim to its extended continental shelf is contested, and the waters are slowly filling with more ships and less ice.</w:t>
      </w:r>
      <w:r w:rsidDel="00000000" w:rsidR="00000000" w:rsidRPr="00000000">
        <w:rPr>
          <w:rtl w:val="0"/>
        </w:rPr>
      </w:r>
    </w:p>
    <w:p w:rsidR="00000000" w:rsidDel="00000000" w:rsidP="00000000" w:rsidRDefault="00000000" w:rsidRPr="00000000" w14:paraId="000000FD">
      <w:pPr>
        <w:rPr/>
      </w:pPr>
      <w:r w:rsidDel="00000000" w:rsidR="00000000" w:rsidRPr="00000000">
        <w:rPr>
          <w:rFonts w:ascii="Times New Roman" w:cs="Times New Roman" w:eastAsia="Times New Roman" w:hAnsi="Times New Roman"/>
          <w:b w:val="0"/>
          <w:bCs w:val="0"/>
          <w:i w:val="0"/>
          <w:iCs w:val="0"/>
          <w:sz w:val="24"/>
          <w:szCs w:val="24"/>
          <w:rtl w:val="0"/>
        </w:rPr>
        <w:t xml:space="preserve">A line on a freshly drawn map, announced in 2023, watched by three of the most influential nations in the world. A line marked only by daring Chinese and Russian vessels, observed from the cockpit of a Coast Guard aircrew. Ships floating miles inside a boundary disputed in international forums by both nations. There is no clearer indication that conflict is brewing, nor of the volatility of the region; the pressure is mounting, like the pearl diver's lungs as they swim deeper into the dark blue, scraping for pearls and oysters. The US strives to insulate its economy from chokepoints such as critical minerals, particularly after their use against it and its allies, namely Japan, by China. The US is, of course, a free market, with freedom of competition, as opposed to cooperation, among firms. The creation of a supply chain independent of China's extraction and processing of critical minerals depends upon the organic creation of it, albeit with government subsidies. China also seeks to insulate its economy from such chokepoints by establishing a dual circulation doctrine, first enacted in 2020</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26</w:t>
      </w:r>
      <w:r w:rsidDel="00000000" w:rsidR="00000000" w:rsidRPr="00000000">
        <w:rPr>
          <w:rFonts w:ascii="Times New Roman" w:cs="Times New Roman" w:eastAsia="Times New Roman" w:hAnsi="Times New Roman"/>
          <w:b w:val="0"/>
          <w:bCs w:val="0"/>
          <w:i w:val="0"/>
          <w:iCs w:val="0"/>
          <w:sz w:val="24"/>
          <w:szCs w:val="24"/>
          <w:rtl w:val="0"/>
        </w:rPr>
        <w:t xml:space="preserve">; the doctrine functions by establishing a second economy within China's international economy, a closed-loop domestic supply chain insulated from external pressures such as the withholding of resources or blockades. It is, in part, a response to US economic policy aimed at China. In effect, the two nations seek independence from one another despite their mutual dependence through the globalized world market. Whereas the US model of insulation is by nature fragmented, competitive, and capital intensive, China's model encourages coordination under state control to secure possession of critical minerals. State-owned entities under the China Ocean Mineral Resources R&amp;D Association, along with university and research partners, function as the aforementioned pool of research and technology. Beijing has been explicit that the payoff is not near-term tonnage but geopolitical leverage and insulation from chokepoints, and power over other nations' chokepoints in turn. China may not need immediate seabed minerals, but it desires the geopolitical leverage of controlling the commodities market, now and later alike; as such, it is deliberately not pushing for a finalized ISA mining code until its strategy is fully crystallized.</w:t>
      </w:r>
      <w:r w:rsidDel="00000000" w:rsidR="00000000" w:rsidRPr="00000000">
        <w:rPr>
          <w:rtl w:val="0"/>
        </w:rPr>
      </w:r>
    </w:p>
    <w:p w:rsidR="00000000" w:rsidDel="00000000" w:rsidP="00000000" w:rsidRDefault="00000000" w:rsidRPr="00000000" w14:paraId="000000FE">
      <w:pPr>
        <w:rPr/>
      </w:pPr>
      <w:r w:rsidDel="00000000" w:rsidR="00000000" w:rsidRPr="00000000">
        <w:rPr>
          <w:rFonts w:ascii="Times New Roman" w:cs="Times New Roman" w:eastAsia="Times New Roman" w:hAnsi="Times New Roman"/>
          <w:b w:val="0"/>
          <w:bCs w:val="0"/>
          <w:i w:val="0"/>
          <w:iCs w:val="0"/>
          <w:sz w:val="24"/>
          <w:szCs w:val="24"/>
          <w:rtl w:val="0"/>
        </w:rPr>
        <w:t xml:space="preserve">The Eureka II works on a single branch permit off the coast of Alaska, under Impossible Metals, a US company, under a US-issued permit. The work is slow and gradual, but the competition is steep, and costs are high. Across the waters rests a vessel, the Xiang Yang Hong 01, which chops the waves and sends seaspray into the air. Since entering service in 2016, this vessel has run repeated deep-sea mining research expeditions throughout the Northwest Pacific</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27</w:t>
      </w:r>
      <w:r w:rsidDel="00000000" w:rsidR="00000000" w:rsidRPr="00000000">
        <w:rPr>
          <w:rFonts w:ascii="Times New Roman" w:cs="Times New Roman" w:eastAsia="Times New Roman" w:hAnsi="Times New Roman"/>
          <w:b w:val="0"/>
          <w:bCs w:val="0"/>
          <w:i w:val="0"/>
          <w:iCs w:val="0"/>
          <w:sz w:val="24"/>
          <w:szCs w:val="24"/>
          <w:rtl w:val="0"/>
        </w:rPr>
        <w:t xml:space="preserve">, its data folding into a shared pool the moment it is verified, immediately accessible to corporations and researchers with vested interests. The competition of the free market has resulted in a competition of nations, with distinct styles of organizing labor; perhaps nations now work more like companies, with their supply chains and interests, and their coordination of labor to outcompete their competition. The US as a corporation, against China as a corporation. Nonetheless, the free market of the US decides the shifting of labor, the whim of the economy, and the long-term extraction plan of deep-sea resources, while China focuses on a state-controlled approach.</w:t>
      </w:r>
      <w:r w:rsidDel="00000000" w:rsidR="00000000" w:rsidRPr="00000000">
        <w:rPr>
          <w:rtl w:val="0"/>
        </w:rPr>
      </w:r>
    </w:p>
    <w:p w:rsidR="00000000" w:rsidDel="00000000" w:rsidP="00000000" w:rsidRDefault="00000000" w:rsidRPr="00000000" w14:paraId="000000FF">
      <w:pPr>
        <w:rPr/>
      </w:pPr>
      <w:sdt>
        <w:sdtPr>
          <w:id w:val="-2058553016"/>
          <w:tag w:val="goog_rdk_0"/>
        </w:sdtPr>
        <w:sdtContent>
          <w:r w:rsidDel="00000000" w:rsidR="00000000" w:rsidRPr="00000000">
            <w:rPr>
              <w:rFonts w:ascii="Gungsuh" w:cs="Gungsuh" w:eastAsia="Gungsuh" w:hAnsi="Gungsuh"/>
              <w:b w:val="0"/>
              <w:bCs w:val="0"/>
              <w:i w:val="0"/>
              <w:iCs w:val="0"/>
              <w:sz w:val="24"/>
              <w:szCs w:val="24"/>
              <w:rtl w:val="0"/>
            </w:rPr>
            <w:t xml:space="preserve">China's use of resources for geopolitical means, as well as domestic commodities, is nothing new. The role of civil-military fusion (军民融合) is China's strategy of utilizing resources for both domestic and potential military purposes</w:t>
          </w:r>
        </w:sdtContent>
      </w:sdt>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28</w:t>
      </w:r>
      <w:r w:rsidDel="00000000" w:rsidR="00000000" w:rsidRPr="00000000">
        <w:rPr>
          <w:rFonts w:ascii="Times New Roman" w:cs="Times New Roman" w:eastAsia="Times New Roman" w:hAnsi="Times New Roman"/>
          <w:b w:val="0"/>
          <w:bCs w:val="0"/>
          <w:i w:val="0"/>
          <w:iCs w:val="0"/>
          <w:sz w:val="24"/>
          <w:szCs w:val="24"/>
          <w:rtl w:val="0"/>
        </w:rPr>
        <w:t xml:space="preserve">; it is the harnessing of the nation's economy as potential energy for war, while it remains kinetic in its domestic purposes. Dual circulation and critical minerals are only the latest development of such a policy; the mining infrastructure China utilizes overlaps with the anti-submarine infrastructure China establishes. China's build-out includes a deep-sea communication lattice of acoustic modems, seafloor docking stations, and relay networks which enable autonomous underwater vehicles to navigate and redeploy without surfacing</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29</w:t>
      </w:r>
      <w:r w:rsidDel="00000000" w:rsidR="00000000" w:rsidRPr="00000000">
        <w:rPr>
          <w:rFonts w:ascii="Times New Roman" w:cs="Times New Roman" w:eastAsia="Times New Roman" w:hAnsi="Times New Roman"/>
          <w:b w:val="0"/>
          <w:bCs w:val="0"/>
          <w:i w:val="0"/>
          <w:iCs w:val="0"/>
          <w:sz w:val="24"/>
          <w:szCs w:val="24"/>
          <w:rtl w:val="0"/>
        </w:rPr>
        <w:t xml:space="preserve">. In the domestic interest, this serves as an effective way of gathering data on the seabed; it also serves as a fleet of autonomous vehicles able to remain underwater for extended periods, potentially recording data on submarines and their activities through acoustic detection systems and sensors, not unlike the sensing capability built into the Far North Fiber cable and other undersea cables around Alaska</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30</w:t>
      </w:r>
      <w:r w:rsidDel="00000000" w:rsidR="00000000" w:rsidRPr="00000000">
        <w:rPr>
          <w:rFonts w:ascii="Times New Roman" w:cs="Times New Roman" w:eastAsia="Times New Roman" w:hAnsi="Times New Roman"/>
          <w:b w:val="0"/>
          <w:bCs w:val="0"/>
          <w:i w:val="0"/>
          <w:iCs w:val="0"/>
          <w:sz w:val="24"/>
          <w:szCs w:val="24"/>
          <w:rtl w:val="0"/>
        </w:rPr>
        <w:t xml:space="preserve">. The USCG has specifically created a strategic robotics program for autonomous underwater vehicles</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31</w:t>
      </w:r>
      <w:r w:rsidDel="00000000" w:rsidR="00000000" w:rsidRPr="00000000">
        <w:rPr>
          <w:rFonts w:ascii="Times New Roman" w:cs="Times New Roman" w:eastAsia="Times New Roman" w:hAnsi="Times New Roman"/>
          <w:b w:val="0"/>
          <w:bCs w:val="0"/>
          <w:i w:val="0"/>
          <w:iCs w:val="0"/>
          <w:sz w:val="24"/>
          <w:szCs w:val="24"/>
          <w:rtl w:val="0"/>
        </w:rPr>
        <w:t xml:space="preserve">, which underscores a new domain of competition between the US and China should conflict ever become kinetic: the domain of stealth, intelligent systems, and autonomous vehicles. The difference between the US and Chinese approaches to such an undersea fleet lies in the peacetime role; Chinese peacetime material is spent researching resources to insulate the domestic economy and bolster the international one, while also serving as a strategic chokepoint. The USCG's fleet, by contrast, is primarily a fighting and enforcement force.</w:t>
      </w:r>
      <w:r w:rsidDel="00000000" w:rsidR="00000000" w:rsidRPr="00000000">
        <w:rPr>
          <w:rtl w:val="0"/>
        </w:rPr>
      </w:r>
    </w:p>
    <w:p w:rsidR="00000000" w:rsidDel="00000000" w:rsidP="00000000" w:rsidRDefault="00000000" w:rsidRPr="00000000" w14:paraId="00000100">
      <w:pPr>
        <w:rPr/>
      </w:pPr>
      <w:r w:rsidDel="00000000" w:rsidR="00000000" w:rsidRPr="00000000">
        <w:rPr>
          <w:rFonts w:ascii="Times New Roman" w:cs="Times New Roman" w:eastAsia="Times New Roman" w:hAnsi="Times New Roman"/>
          <w:b w:val="0"/>
          <w:bCs w:val="0"/>
          <w:i w:val="0"/>
          <w:iCs w:val="0"/>
          <w:sz w:val="24"/>
          <w:szCs w:val="24"/>
          <w:rtl w:val="0"/>
        </w:rPr>
        <w:t xml:space="preserve">Bathymetric data from a 2026 Chinese deep-sea atlas holds the same duality reflected in other parts of China's strategy; seabed composition data shapes sonar propagation, bearing direct utility for both submarine stealth and anti-submarine detection</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32</w:t>
      </w:r>
      <w:r w:rsidDel="00000000" w:rsidR="00000000" w:rsidRPr="00000000">
        <w:rPr>
          <w:rFonts w:ascii="Times New Roman" w:cs="Times New Roman" w:eastAsia="Times New Roman" w:hAnsi="Times New Roman"/>
          <w:b w:val="0"/>
          <w:bCs w:val="0"/>
          <w:i w:val="0"/>
          <w:iCs w:val="0"/>
          <w:sz w:val="24"/>
          <w:szCs w:val="24"/>
          <w:rtl w:val="0"/>
        </w:rPr>
        <w:t xml:space="preserve">. Given the propensity for China to use domestic technology and infrastructure for military purposes under its civil-military fusion doctrine, it is reasonable to treat this as something other than coincidental. Chinese research vessels have mapped waters around Guam and the Marianas, areas which could also support strategic positioning relative to Taiwan</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33</w:t>
      </w:r>
      <w:r w:rsidDel="00000000" w:rsidR="00000000" w:rsidRPr="00000000">
        <w:rPr>
          <w:rFonts w:ascii="Times New Roman" w:cs="Times New Roman" w:eastAsia="Times New Roman" w:hAnsi="Times New Roman"/>
          <w:b w:val="0"/>
          <w:bCs w:val="0"/>
          <w:i w:val="0"/>
          <w:iCs w:val="0"/>
          <w:sz w:val="24"/>
          <w:szCs w:val="24"/>
          <w:rtl w:val="0"/>
        </w:rPr>
        <w:t xml:space="preserve">. Guam, for instance, is a critical submarine hub for the US Navy, as well as a mineral-rich region containing nickel, cobalt, copper, manganese, and zinc</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34</w:t>
      </w:r>
      <w:r w:rsidDel="00000000" w:rsidR="00000000" w:rsidRPr="00000000">
        <w:rPr>
          <w:rFonts w:ascii="Times New Roman" w:cs="Times New Roman" w:eastAsia="Times New Roman" w:hAnsi="Times New Roman"/>
          <w:b w:val="0"/>
          <w:bCs w:val="0"/>
          <w:i w:val="0"/>
          <w:iCs w:val="0"/>
          <w:sz w:val="24"/>
          <w:szCs w:val="24"/>
          <w:rtl w:val="0"/>
        </w:rPr>
        <w:t xml:space="preserve">. The submarine base at Guam hosts Submarine Squadron 15, which includes the Virginia-class USS Minnesota (SSN-783), the Navy's first forward-deployed submarine of its class, built for littoral operations and enhanced stealth</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35</w:t>
      </w:r>
      <w:r w:rsidDel="00000000" w:rsidR="00000000" w:rsidRPr="00000000">
        <w:rPr>
          <w:rFonts w:ascii="Times New Roman" w:cs="Times New Roman" w:eastAsia="Times New Roman" w:hAnsi="Times New Roman"/>
          <w:b w:val="0"/>
          <w:bCs w:val="0"/>
          <w:i w:val="0"/>
          <w:iCs w:val="0"/>
          <w:sz w:val="24"/>
          <w:szCs w:val="24"/>
          <w:rtl w:val="0"/>
        </w:rPr>
        <w:t xml:space="preserve">. It is not surprising, then, that such a region has been closely surveyed by Chinese research vessels; the value of that analysis is not merely economic but also military. Russia lacks China's technological reach in the deep sea, but it holds regional jurisdiction and institutional authority in the Arctic. As such, Russia and China depend on a symbiotic relationship to resist US expansion of its extended continental shelf claims in the Chukchi deposits</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36</w:t>
      </w:r>
      <w:r w:rsidDel="00000000" w:rsidR="00000000" w:rsidRPr="00000000">
        <w:rPr>
          <w:rFonts w:ascii="Times New Roman" w:cs="Times New Roman" w:eastAsia="Times New Roman" w:hAnsi="Times New Roman"/>
          <w:b w:val="0"/>
          <w:bCs w:val="0"/>
          <w:i w:val="0"/>
          <w:iCs w:val="0"/>
          <w:sz w:val="24"/>
          <w:szCs w:val="24"/>
          <w:rtl w:val="0"/>
        </w:rPr>
        <w:t xml:space="preserve">. Russia requires Chinese capital and engineering to function under the sanctions imposed on it since 2022 and the Russo-Ukrainian war; nonetheless, it is working to build its own extraction and refining capacity so that it is not captured by Chinese processing dominance, the way, for example, cobalt from the Democratic Republic of Congo has been</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37</w:t>
      </w:r>
      <w:r w:rsidDel="00000000" w:rsidR="00000000" w:rsidRPr="00000000">
        <w:rPr>
          <w:rFonts w:ascii="Times New Roman" w:cs="Times New Roman" w:eastAsia="Times New Roman" w:hAnsi="Times New Roman"/>
          <w:b w:val="0"/>
          <w:bCs w:val="0"/>
          <w:i w:val="0"/>
          <w:iCs w:val="0"/>
          <w:sz w:val="24"/>
          <w:szCs w:val="24"/>
          <w:rtl w:val="0"/>
        </w:rPr>
        <w:t xml:space="preserve">.</w:t>
      </w:r>
      <w:r w:rsidDel="00000000" w:rsidR="00000000" w:rsidRPr="00000000">
        <w:rPr>
          <w:rtl w:val="0"/>
        </w:rPr>
      </w:r>
    </w:p>
    <w:p w:rsidR="00000000" w:rsidDel="00000000" w:rsidP="00000000" w:rsidRDefault="00000000" w:rsidRPr="00000000" w14:paraId="00000101">
      <w:pPr>
        <w:rPr/>
      </w:pPr>
      <w:r w:rsidDel="00000000" w:rsidR="00000000" w:rsidRPr="00000000">
        <w:rPr>
          <w:rFonts w:ascii="Times New Roman" w:cs="Times New Roman" w:eastAsia="Times New Roman" w:hAnsi="Times New Roman"/>
          <w:b w:val="0"/>
          <w:bCs w:val="0"/>
          <w:i w:val="0"/>
          <w:iCs w:val="0"/>
          <w:sz w:val="24"/>
          <w:szCs w:val="24"/>
          <w:rtl w:val="0"/>
        </w:rPr>
        <w:t xml:space="preserve">The dynamic between Russia and China functions not only in the Arctic, where the US has expanded its claim, but throughout the oceans; nonetheless, it is more prominent there than anywhere else, as both nations hold a vested interest in preventing US expansion and in retaining influence and leverage. For Russia, such leverage rests on institutional authority over the Arctic, which, despite its exclusion from the Arctic Council, remains imperative to retaining a powerful role in the Arctic Circle, preventing the expansion of Western powers, and pressing its own claims. For China, the cooperation functions as a path to retaining influence over rare earth minerals, one which is fading as nations throughout the world seek to insulate themselves from Chinese leverage.</w:t>
      </w:r>
      <w:r w:rsidDel="00000000" w:rsidR="00000000" w:rsidRPr="00000000">
        <w:rPr>
          <w:rtl w:val="0"/>
        </w:rPr>
      </w:r>
    </w:p>
    <w:p w:rsidR="00000000" w:rsidDel="00000000" w:rsidP="00000000" w:rsidRDefault="00000000" w:rsidRPr="00000000" w14:paraId="00000102">
      <w:pPr>
        <w:rPr/>
      </w:pPr>
      <w:r w:rsidDel="00000000" w:rsidR="00000000" w:rsidRPr="00000000">
        <w:rPr>
          <w:rFonts w:ascii="Times New Roman" w:cs="Times New Roman" w:eastAsia="Times New Roman" w:hAnsi="Times New Roman"/>
          <w:b w:val="0"/>
          <w:bCs w:val="0"/>
          <w:i w:val="0"/>
          <w:iCs w:val="0"/>
          <w:sz w:val="24"/>
          <w:szCs w:val="24"/>
          <w:rtl w:val="0"/>
        </w:rPr>
        <w:t xml:space="preserve">The US has achieved the unique position of a power still discovering land to which it has some claim on its extended continental shelf. Such resources would provide the US insulation from Chinese market pressure, as well as expanding US presence into an increasingly important region as the ice melts and tensions rise. Competition between the US, China, and Russia in the Arctic is significant for the security and strategic position of each nation. The pearls of the deep have been exchanged for critical minerals such as cobalt, nickel, and polymetallic nodules, and the divers have been replaced with machines; nonetheless, the principles of pressure, of the power of the tides and the ebb and flow of the ocean, still remain. The shift of power from one nation to another, established by resource control in chokepoint competition, domestic and international strategy to retain and increase influence, and the drive to insulate oneself from pressure, is as consequential as the minerals that power the world. And so the divers resurface with baskets of pearls and oysters, gasping for air; the cold depths of the ocean unwelcoming for long. The Eureka II is called to its homeport and resurfaces with its bounty; but the Chinese counterparts never surface; they remain docked, waiting, watching, listening for submarine acoustics, for leverage. Chinese civil-military strategy in critical mineral chokepoints is more prominent than ever, as the nation works in conjunction with Russia to claim the last unclaimed land in the world, the deep seas and the Arctic. The balance of legitimacy and power lies at the heart of such contention, as institutions are set aside by the US when it needs them most for legitimate claims to exploration and extraction, while China and Russia seek to undermine international legitimacy through those very channels. The power of economic leverage steers the course of Chinese AUVs and of the US Fairweather alike. Nonetheless, pearls sit on the ocean floor, and as always, divers will seek to claim them.</w:t>
      </w:r>
      <w:r w:rsidDel="00000000" w:rsidR="00000000" w:rsidRPr="00000000">
        <w:rPr>
          <w:rtl w:val="0"/>
        </w:rPr>
      </w:r>
    </w:p>
    <w:p w:rsidR="00000000" w:rsidDel="00000000" w:rsidP="00000000" w:rsidRDefault="00000000" w:rsidRPr="00000000" w14:paraId="00000103">
      <w:pPr>
        <w:rPr/>
      </w:pPr>
      <w:r w:rsidDel="00000000" w:rsidR="00000000" w:rsidRPr="00000000">
        <w:br w:type="page"/>
      </w:r>
      <w:r w:rsidDel="00000000" w:rsidR="00000000" w:rsidRPr="00000000">
        <w:rPr>
          <w:rtl w:val="0"/>
        </w:rPr>
      </w:r>
    </w:p>
    <w:p w:rsidR="00000000" w:rsidDel="00000000" w:rsidP="00000000" w:rsidRDefault="00000000" w:rsidRPr="00000000" w14:paraId="00000104">
      <w:pPr>
        <w:pStyle w:val="Heading1"/>
        <w:pBdr>
          <w:bottom w:color="1b3a5c" w:space="4" w:sz="6" w:val="single"/>
        </w:pBdr>
        <w:spacing w:after="200" w:before="300" w:line="276" w:lineRule="auto"/>
        <w:rPr/>
      </w:pPr>
      <w:r w:rsidDel="00000000" w:rsidR="00000000" w:rsidRPr="00000000">
        <w:rPr>
          <w:rFonts w:ascii="Times New Roman" w:cs="Times New Roman" w:eastAsia="Times New Roman" w:hAnsi="Times New Roman"/>
          <w:b w:val="1"/>
          <w:bCs w:val="1"/>
          <w:i w:val="0"/>
          <w:iCs w:val="0"/>
          <w:sz w:val="30"/>
          <w:szCs w:val="30"/>
          <w:rtl w:val="0"/>
        </w:rPr>
        <w:t xml:space="preserve">The Sanctions and the System: Chinese Firms and US Responses</w:t>
      </w:r>
      <w:r w:rsidDel="00000000" w:rsidR="00000000" w:rsidRPr="00000000">
        <w:rPr>
          <w:rtl w:val="0"/>
        </w:rPr>
      </w:r>
    </w:p>
    <w:p w:rsidR="00000000" w:rsidDel="00000000" w:rsidP="00000000" w:rsidRDefault="00000000" w:rsidRPr="00000000" w14:paraId="00000105">
      <w:pPr>
        <w:rPr/>
      </w:pPr>
      <w:r w:rsidDel="00000000" w:rsidR="00000000" w:rsidRPr="00000000">
        <w:rPr>
          <w:rFonts w:ascii="Times New Roman" w:cs="Times New Roman" w:eastAsia="Times New Roman" w:hAnsi="Times New Roman"/>
          <w:b w:val="0"/>
          <w:bCs w:val="0"/>
          <w:i w:val="1"/>
          <w:iCs w:val="1"/>
          <w:sz w:val="24"/>
          <w:szCs w:val="24"/>
          <w:rtl w:val="0"/>
        </w:rPr>
        <w:t xml:space="preserve">Leonardo Gomez, J.</w:t>
      </w:r>
      <w:r w:rsidDel="00000000" w:rsidR="00000000" w:rsidRPr="00000000">
        <w:rPr>
          <w:i w:val="1"/>
          <w:iCs w:val="1"/>
          <w:sz w:val="24"/>
          <w:szCs w:val="24"/>
          <w:rtl w:val="0"/>
        </w:rPr>
        <w:t xml:space="preserve">M. Lindstrom </w:t>
      </w:r>
      <w:r w:rsidDel="00000000" w:rsidR="00000000" w:rsidRPr="00000000">
        <w:rPr>
          <w:rtl w:val="0"/>
        </w:rPr>
      </w:r>
    </w:p>
    <w:p w:rsidR="00000000" w:rsidDel="00000000" w:rsidP="00000000" w:rsidRDefault="00000000" w:rsidRPr="00000000" w14:paraId="00000106">
      <w:pPr>
        <w:rPr/>
      </w:pPr>
      <w:r w:rsidDel="00000000" w:rsidR="00000000" w:rsidRPr="00000000">
        <w:rPr>
          <w:rFonts w:ascii="Times New Roman" w:cs="Times New Roman" w:eastAsia="Times New Roman" w:hAnsi="Times New Roman"/>
          <w:b w:val="0"/>
          <w:bCs w:val="0"/>
          <w:i w:val="0"/>
          <w:iCs w:val="0"/>
          <w:sz w:val="24"/>
          <w:szCs w:val="24"/>
          <w:rtl w:val="0"/>
        </w:rPr>
        <w:t xml:space="preserve">In early March 2026, the Democratic Republic of the Congo welcomed outside auditors to review Sicomines, a copper and cobalt joint venture, once heralded as the "deal of the century."</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1,2</w:t>
      </w:r>
      <w:r w:rsidDel="00000000" w:rsidR="00000000" w:rsidRPr="00000000">
        <w:rPr>
          <w:rFonts w:ascii="Times New Roman" w:cs="Times New Roman" w:eastAsia="Times New Roman" w:hAnsi="Times New Roman"/>
          <w:b w:val="0"/>
          <w:bCs w:val="0"/>
          <w:i w:val="0"/>
          <w:iCs w:val="0"/>
          <w:sz w:val="24"/>
          <w:szCs w:val="24"/>
          <w:rtl w:val="0"/>
        </w:rPr>
        <w:t xml:space="preserve"> It was the second reckoning in as many years, as Kinshasa had already forced a renegotiation which lifted China's infrastructure commitment from three billion dollars to seven.</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3,4</w:t>
      </w:r>
      <w:r w:rsidDel="00000000" w:rsidR="00000000" w:rsidRPr="00000000">
        <w:rPr>
          <w:rFonts w:ascii="Times New Roman" w:cs="Times New Roman" w:eastAsia="Times New Roman" w:hAnsi="Times New Roman"/>
          <w:b w:val="0"/>
          <w:bCs w:val="0"/>
          <w:i w:val="0"/>
          <w:iCs w:val="0"/>
          <w:sz w:val="24"/>
          <w:szCs w:val="24"/>
          <w:rtl w:val="0"/>
        </w:rPr>
        <w:t xml:space="preserve"> This negotiation occurred after an internal audit uncovered that Chinese partners had banked nearly ten billion dollars in profit without delivering more than a fraction of the promised infrastructure-particularly roads and hospitals.</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5,6</w:t>
      </w:r>
      <w:r w:rsidDel="00000000" w:rsidR="00000000" w:rsidRPr="00000000">
        <w:rPr>
          <w:rFonts w:ascii="Times New Roman" w:cs="Times New Roman" w:eastAsia="Times New Roman" w:hAnsi="Times New Roman"/>
          <w:b w:val="0"/>
          <w:bCs w:val="0"/>
          <w:i w:val="0"/>
          <w:iCs w:val="0"/>
          <w:sz w:val="24"/>
          <w:szCs w:val="24"/>
          <w:rtl w:val="0"/>
        </w:rPr>
        <w:t xml:space="preserve"> A commercial investor with such exposure would have abandoned such a project to save reputation, finances, and political cover, let alone legal prosecution. Nonetheless, Sinohydro and the China Railway Group are still present in the Congo, recently breaking new ground on novel ring roads outside Kinshasa.</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7</w:t>
      </w:r>
      <w:r w:rsidDel="00000000" w:rsidR="00000000" w:rsidRPr="00000000">
        <w:rPr>
          <w:rFonts w:ascii="Times New Roman" w:cs="Times New Roman" w:eastAsia="Times New Roman" w:hAnsi="Times New Roman"/>
          <w:b w:val="0"/>
          <w:bCs w:val="0"/>
          <w:i w:val="0"/>
          <w:iCs w:val="0"/>
          <w:sz w:val="24"/>
          <w:szCs w:val="24"/>
          <w:rtl w:val="0"/>
        </w:rPr>
        <w:t xml:space="preserve"> In Balochistan, Pakistan, mining companies face harassment from local militias and terrorists; however, a Chinese company, Metallurgical Corporation of China, remains at the Saindak copper-gold mine; it is insulated from the same blowback concerns as traditional companies.</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8,9,10</w:t>
      </w:r>
      <w:r w:rsidDel="00000000" w:rsidR="00000000" w:rsidRPr="00000000">
        <w:rPr>
          <w:rtl w:val="0"/>
        </w:rPr>
      </w:r>
    </w:p>
    <w:p w:rsidR="00000000" w:rsidDel="00000000" w:rsidP="00000000" w:rsidRDefault="00000000" w:rsidRPr="00000000" w14:paraId="00000107">
      <w:pPr>
        <w:rPr/>
      </w:pPr>
      <w:r w:rsidDel="00000000" w:rsidR="00000000" w:rsidRPr="00000000">
        <w:rPr>
          <w:rFonts w:ascii="Times New Roman" w:cs="Times New Roman" w:eastAsia="Times New Roman" w:hAnsi="Times New Roman"/>
          <w:b w:val="0"/>
          <w:bCs w:val="0"/>
          <w:i w:val="0"/>
          <w:iCs w:val="0"/>
          <w:sz w:val="24"/>
          <w:szCs w:val="24"/>
          <w:rtl w:val="0"/>
        </w:rPr>
        <w:t xml:space="preserve">Washington has an economic arsenal it uses to combat Chinese resource acquisition; in blunter terms, an offensive and defensive chokepoint strategy to match China's own. However, such a policy of economic warfare and sanctions fails to appreciate one simple fact. Sanctions on Chinese government banks and institutions hold little to no bearing on non-governmental enterprises. Despite this, such enterprises and corporations sit in the Chinese government's pocket. The US assumption that the state-owned enterprises, policy banks and logistics contractors are separate entities with separate cost-benefit calculations is simply inaccurate to the Chinese state of play, particularly in China's critical minerals strategy. Rather, they serve as different arms of the same system, coordinated top-down through the State-owned Assets Supervision and Administration Commission of the State Council- known more punchily by the name SASAC.</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11</w:t>
      </w:r>
      <w:r w:rsidDel="00000000" w:rsidR="00000000" w:rsidRPr="00000000">
        <w:rPr>
          <w:rFonts w:ascii="Times New Roman" w:cs="Times New Roman" w:eastAsia="Times New Roman" w:hAnsi="Times New Roman"/>
          <w:b w:val="0"/>
          <w:bCs w:val="0"/>
          <w:i w:val="0"/>
          <w:iCs w:val="0"/>
          <w:sz w:val="24"/>
          <w:szCs w:val="24"/>
          <w:rtl w:val="0"/>
        </w:rPr>
        <w:t xml:space="preserve"> SASAC is insulated by policy-bank balance sheets, defended by civil-military planning which treats commercial infrastructure as a wartime asset in waiting. Sanctioning a single firm in this chain- a single branch of this system- doesn't weaken the system; it simply shifts the mandate to the branch still standing.</w:t>
      </w:r>
      <w:r w:rsidDel="00000000" w:rsidR="00000000" w:rsidRPr="00000000">
        <w:rPr>
          <w:rtl w:val="0"/>
        </w:rPr>
      </w:r>
    </w:p>
    <w:p w:rsidR="00000000" w:rsidDel="00000000" w:rsidP="00000000" w:rsidRDefault="00000000" w:rsidRPr="00000000" w14:paraId="00000108">
      <w:pPr>
        <w:rPr/>
      </w:pPr>
      <w:r w:rsidDel="00000000" w:rsidR="00000000" w:rsidRPr="00000000">
        <w:rPr>
          <w:rFonts w:ascii="Times New Roman" w:cs="Times New Roman" w:eastAsia="Times New Roman" w:hAnsi="Times New Roman"/>
          <w:b w:val="0"/>
          <w:bCs w:val="0"/>
          <w:i w:val="0"/>
          <w:iCs w:val="0"/>
          <w:sz w:val="24"/>
          <w:szCs w:val="24"/>
          <w:rtl w:val="0"/>
        </w:rPr>
        <w:t xml:space="preserve">Washington's arsenal isn't oriented around multiple branches of a system so much as a singular target- the more branches, the more confused US economic policy seems, the inverse of the strategy a successful economic combative policy, such as a sanction, should be. The US must target this chain- the system itself- or else it faces fighting the wrong war, a whack-a-mole instead of a surgical economic strike.</w:t>
      </w:r>
      <w:r w:rsidDel="00000000" w:rsidR="00000000" w:rsidRPr="00000000">
        <w:rPr>
          <w:rtl w:val="0"/>
        </w:rPr>
      </w:r>
    </w:p>
    <w:p w:rsidR="00000000" w:rsidDel="00000000" w:rsidP="00000000" w:rsidRDefault="00000000" w:rsidRPr="00000000" w14:paraId="00000109">
      <w:pPr>
        <w:rPr/>
      </w:pPr>
      <w:r w:rsidDel="00000000" w:rsidR="00000000" w:rsidRPr="00000000">
        <w:rPr>
          <w:rFonts w:ascii="Times New Roman" w:cs="Times New Roman" w:eastAsia="Times New Roman" w:hAnsi="Times New Roman"/>
          <w:b w:val="0"/>
          <w:bCs w:val="0"/>
          <w:i w:val="0"/>
          <w:iCs w:val="0"/>
          <w:sz w:val="24"/>
          <w:szCs w:val="24"/>
          <w:rtl w:val="0"/>
        </w:rPr>
        <w:t xml:space="preserve">Western frameworks for evaluating foreign acquisitions, project finance, and supply chain security assume that state-owned enterprises, policy banks, and military planners operate as separate entities bounded by clear legal limits and market signals. Applied to China, this assumption misreads how Beijing secures global resources.</w:t>
      </w:r>
      <w:r w:rsidDel="00000000" w:rsidR="00000000" w:rsidRPr="00000000">
        <w:rPr>
          <w:rtl w:val="0"/>
        </w:rPr>
      </w:r>
    </w:p>
    <w:p w:rsidR="00000000" w:rsidDel="00000000" w:rsidP="00000000" w:rsidRDefault="00000000" w:rsidRPr="00000000" w14:paraId="0000010A">
      <w:pPr>
        <w:rPr/>
      </w:pPr>
      <w:r w:rsidDel="00000000" w:rsidR="00000000" w:rsidRPr="00000000">
        <w:rPr>
          <w:rFonts w:ascii="Times New Roman" w:cs="Times New Roman" w:eastAsia="Times New Roman" w:hAnsi="Times New Roman"/>
          <w:b w:val="0"/>
          <w:bCs w:val="0"/>
          <w:i w:val="0"/>
          <w:iCs w:val="0"/>
          <w:sz w:val="24"/>
          <w:szCs w:val="24"/>
          <w:rtl w:val="0"/>
        </w:rPr>
        <w:t xml:space="preserve">China does not rely on arms-length commercial firms or isolated state interventions. Instead, it secures raw materials through three connected institutional layers. The State-owned Assets Supervision and Administration Commission (SASAC) sets strategic goals and mineral targets for centrally administered state-owned enterprises. Policy banks like China Development Bank and China Exim Bank provide long-term loans and structured financing to insulate lenders from political risk.</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24</w:t>
      </w:r>
      <w:sdt>
        <w:sdtPr>
          <w:id w:val="347188416"/>
          <w:tag w:val="goog_rdk_1"/>
        </w:sdtPr>
        <w:sdtContent>
          <w:r w:rsidDel="00000000" w:rsidR="00000000" w:rsidRPr="00000000">
            <w:rPr>
              <w:rFonts w:ascii="Gungsuh" w:cs="Gungsuh" w:eastAsia="Gungsuh" w:hAnsi="Gungsuh"/>
              <w:b w:val="0"/>
              <w:bCs w:val="0"/>
              <w:i w:val="0"/>
              <w:iCs w:val="0"/>
              <w:sz w:val="24"/>
              <w:szCs w:val="24"/>
              <w:rtl w:val="0"/>
            </w:rPr>
            <w:t xml:space="preserve"> And Civil Military Fusion (Junmin Ronghe / 军民融合) embeds dual-use standards, emergency mobilization rules, and logistics planning into civilian transport and extraction assets.</w:t>
          </w:r>
        </w:sdtContent>
      </w:sdt>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25,28</w:t>
      </w:r>
      <w:r w:rsidDel="00000000" w:rsidR="00000000" w:rsidRPr="00000000">
        <w:rPr>
          <w:rtl w:val="0"/>
        </w:rPr>
      </w:r>
    </w:p>
    <w:p w:rsidR="00000000" w:rsidDel="00000000" w:rsidP="00000000" w:rsidRDefault="00000000" w:rsidRPr="00000000" w14:paraId="0000010B">
      <w:pPr>
        <w:rPr/>
      </w:pPr>
      <w:r w:rsidDel="00000000" w:rsidR="00000000" w:rsidRPr="00000000">
        <w:rPr>
          <w:rFonts w:ascii="Times New Roman" w:cs="Times New Roman" w:eastAsia="Times New Roman" w:hAnsi="Times New Roman"/>
          <w:b w:val="0"/>
          <w:bCs w:val="0"/>
          <w:i w:val="0"/>
          <w:iCs w:val="0"/>
          <w:sz w:val="24"/>
          <w:szCs w:val="24"/>
          <w:rtl w:val="0"/>
        </w:rPr>
        <w:t xml:space="preserve">These layers form an operational system, but it is not seamless. Tensions exist between SASAC mineral mandates and policy bank risk limits. Bank managers face internal accountability for bad debt, leading to bureaucratic resistance against high-risk proposals. Furthermore, local resource nationalism, such as the Congolese government demanding revised terms for the Sicomines agreement, regularly tests offshore contract protections.</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5</w:t>
      </w:r>
      <w:r w:rsidDel="00000000" w:rsidR="00000000" w:rsidRPr="00000000">
        <w:rPr>
          <w:rFonts w:ascii="Times New Roman" w:cs="Times New Roman" w:eastAsia="Times New Roman" w:hAnsi="Times New Roman"/>
          <w:b w:val="0"/>
          <w:bCs w:val="0"/>
          <w:i w:val="0"/>
          <w:iCs w:val="0"/>
          <w:sz w:val="24"/>
          <w:szCs w:val="24"/>
          <w:rtl w:val="0"/>
        </w:rPr>
        <w:t xml:space="preserve"> Still, the system combines state direction with long-term financing and strategic goals in ways Western market economies cannot replicate.</w:t>
      </w:r>
      <w:r w:rsidDel="00000000" w:rsidR="00000000" w:rsidRPr="00000000">
        <w:rPr>
          <w:rtl w:val="0"/>
        </w:rPr>
      </w:r>
    </w:p>
    <w:p w:rsidR="00000000" w:rsidDel="00000000" w:rsidP="00000000" w:rsidRDefault="00000000" w:rsidRPr="00000000" w14:paraId="0000010C">
      <w:pPr>
        <w:rPr/>
      </w:pPr>
      <w:sdt>
        <w:sdtPr>
          <w:id w:val="801322736"/>
          <w:tag w:val="goog_rdk_2"/>
        </w:sdtPr>
        <w:sdtContent>
          <w:r w:rsidDel="00000000" w:rsidR="00000000" w:rsidRPr="00000000">
            <w:rPr>
              <w:rFonts w:ascii="Gungsuh" w:cs="Gungsuh" w:eastAsia="Gungsuh" w:hAnsi="Gungsuh"/>
              <w:b w:val="0"/>
              <w:bCs w:val="0"/>
              <w:i w:val="0"/>
              <w:iCs w:val="0"/>
              <w:sz w:val="24"/>
              <w:szCs w:val="24"/>
              <w:rtl w:val="0"/>
            </w:rPr>
            <w:t xml:space="preserve">SASAC oversees state ownership, appoints senior executives, and evaluates performance for central state-owned enterprises, converting national plans into concrete corporate targets in sectors like energy, mining, and construction. It does so through its Performance Evaluation Measures for Enterprise Executives (中央企业负责人经营业绩考核办法), which balance long-term supply security and technical independence with financial returns.</w:t>
          </w:r>
        </w:sdtContent>
      </w:sdt>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15,19</w:t>
      </w:r>
      <w:r w:rsidDel="00000000" w:rsidR="00000000" w:rsidRPr="00000000">
        <w:rPr>
          <w:rFonts w:ascii="Times New Roman" w:cs="Times New Roman" w:eastAsia="Times New Roman" w:hAnsi="Times New Roman"/>
          <w:b w:val="0"/>
          <w:bCs w:val="0"/>
          <w:i w:val="0"/>
          <w:iCs w:val="0"/>
          <w:sz w:val="24"/>
          <w:szCs w:val="24"/>
          <w:rtl w:val="0"/>
        </w:rPr>
        <w:t xml:space="preserve"> Unlike private executives accountable to shareholders, central company leaders operate within the Party cadre management system (ganbu guanli): securing a key overseas copper, lithium, or cobalt concession advances an executive's political career, and failing to secure vital inputs harms career prospects regardless of short-term profits.</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17,18</w:t>
      </w:r>
      <w:sdt>
        <w:sdtPr>
          <w:id w:val="-1559558774"/>
          <w:tag w:val="goog_rdk_3"/>
        </w:sdtPr>
        <w:sdtContent>
          <w:r w:rsidDel="00000000" w:rsidR="00000000" w:rsidRPr="00000000">
            <w:rPr>
              <w:rFonts w:ascii="Gungsuh" w:cs="Gungsuh" w:eastAsia="Gungsuh" w:hAnsi="Gungsuh"/>
              <w:b w:val="0"/>
              <w:bCs w:val="0"/>
              <w:i w:val="0"/>
              <w:iCs w:val="0"/>
              <w:sz w:val="24"/>
              <w:szCs w:val="24"/>
              <w:rtl w:val="0"/>
            </w:rPr>
            <w:t xml:space="preserve"> To prevent uncoordinated state companies from competing for identical foreign assets, SASAC issued Order Number 35, the Interim Measures for the Supervision and Administration of Outbound Investments of Central Enterprises (中央企业境外投资监督管理办法), restricting state company investments to their approved core businesses and allowing SASAC to coordinate joint consortia — pairing mining specialists with construction firms to present host nations with comprehensive, state backed proposals.</w:t>
          </w:r>
        </w:sdtContent>
      </w:sdt>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12,13,14</w:t>
      </w:r>
      <w:r w:rsidDel="00000000" w:rsidR="00000000" w:rsidRPr="00000000">
        <w:rPr>
          <w:rtl w:val="0"/>
        </w:rPr>
      </w:r>
    </w:p>
    <w:p w:rsidR="00000000" w:rsidDel="00000000" w:rsidP="00000000" w:rsidRDefault="00000000" w:rsidRPr="00000000" w14:paraId="0000010D">
      <w:pPr>
        <w:rPr/>
      </w:pPr>
      <w:r w:rsidDel="00000000" w:rsidR="00000000" w:rsidRPr="00000000">
        <w:rPr>
          <w:rFonts w:ascii="Times New Roman" w:cs="Times New Roman" w:eastAsia="Times New Roman" w:hAnsi="Times New Roman"/>
          <w:b w:val="0"/>
          <w:bCs w:val="0"/>
          <w:i w:val="0"/>
          <w:iCs w:val="0"/>
          <w:sz w:val="24"/>
          <w:szCs w:val="24"/>
          <w:rtl w:val="0"/>
        </w:rPr>
        <w:t xml:space="preserve">While SASAC sets corporate goals, China's policy banks supply the capital, and they do not evaluate projects purely on commercial risk-adjusted returns. China Development Bank and China Exim Bank use their balance sheets to absorb sovereign risk, secure long term mineral off take, and protect industrial supply lines — where commercial lenders would price political instability into high interest rates and strict covenants, the policy banks extend credit lines to host governments backed directly by future shipments of oil, minerals, or agricultural goods;</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20,21</w:t>
      </w:r>
      <w:r w:rsidDel="00000000" w:rsidR="00000000" w:rsidRPr="00000000">
        <w:rPr>
          <w:rFonts w:ascii="Times New Roman" w:cs="Times New Roman" w:eastAsia="Times New Roman" w:hAnsi="Times New Roman"/>
          <w:b w:val="0"/>
          <w:bCs w:val="0"/>
          <w:i w:val="0"/>
          <w:iCs w:val="0"/>
          <w:sz w:val="24"/>
          <w:szCs w:val="24"/>
          <w:rtl w:val="0"/>
        </w:rPr>
        <w:t xml:space="preserve"> write loans with grace periods of five to ten years and maturities extending 20 to 30 years, insulating projects from market downturns; route export revenues through offshore escrow accounts managed by Chinese state banks, with debt service deducted before remaining funds reach host treasuries;</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21,22,23</w:t>
      </w:r>
      <w:r w:rsidDel="00000000" w:rsidR="00000000" w:rsidRPr="00000000">
        <w:rPr>
          <w:rFonts w:ascii="Times New Roman" w:cs="Times New Roman" w:eastAsia="Times New Roman" w:hAnsi="Times New Roman"/>
          <w:b w:val="0"/>
          <w:bCs w:val="0"/>
          <w:i w:val="0"/>
          <w:iCs w:val="0"/>
          <w:sz w:val="24"/>
          <w:szCs w:val="24"/>
          <w:rtl w:val="0"/>
        </w:rPr>
        <w:t xml:space="preserve"> and, when debt distress occurs, prefer restructuring, deferred payments, or equity swaps over liquidating assets, keeping physical concessions under state influence.</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22</w:t>
      </w:r>
      <w:r w:rsidDel="00000000" w:rsidR="00000000" w:rsidRPr="00000000">
        <w:rPr>
          <w:rFonts w:ascii="Times New Roman" w:cs="Times New Roman" w:eastAsia="Times New Roman" w:hAnsi="Times New Roman"/>
          <w:b w:val="0"/>
          <w:bCs w:val="0"/>
          <w:i w:val="0"/>
          <w:iCs w:val="0"/>
          <w:sz w:val="24"/>
          <w:szCs w:val="24"/>
          <w:rtl w:val="0"/>
        </w:rPr>
        <w:t xml:space="preserve"> This financial backing insulates projects from short-term commodity price swings, allowing Chinese state companies to operate in high-risk jurisdictions where Western commercial firms face prohibitive borrowing costs or strict governance rules.</w:t>
      </w:r>
      <w:r w:rsidDel="00000000" w:rsidR="00000000" w:rsidRPr="00000000">
        <w:rPr>
          <w:rtl w:val="0"/>
        </w:rPr>
      </w:r>
    </w:p>
    <w:p w:rsidR="00000000" w:rsidDel="00000000" w:rsidP="00000000" w:rsidRDefault="00000000" w:rsidRPr="00000000" w14:paraId="0000010E">
      <w:pPr>
        <w:rPr/>
      </w:pPr>
      <w:sdt>
        <w:sdtPr>
          <w:id w:val="433846854"/>
          <w:tag w:val="goog_rdk_4"/>
        </w:sdtPr>
        <w:sdtContent>
          <w:r w:rsidDel="00000000" w:rsidR="00000000" w:rsidRPr="00000000">
            <w:rPr>
              <w:rFonts w:ascii="Gungsuh" w:cs="Gungsuh" w:eastAsia="Gungsuh" w:hAnsi="Gungsuh"/>
              <w:b w:val="0"/>
              <w:bCs w:val="0"/>
              <w:i w:val="0"/>
              <w:iCs w:val="0"/>
              <w:sz w:val="24"/>
              <w:szCs w:val="24"/>
              <w:rtl w:val="0"/>
            </w:rPr>
            <w:t xml:space="preserve">Beyond defense technology, Civil Military Fusion (Junmin Ronghe) shapes physical supply chains and overseas transport networks. Under China's National Defense Mobilization Law (国家国防动员法) and State Council transport rules (Guobanfa Number 86), civilian infrastructure built by central state companies must meet technical standards that support strategic mobilization and military logistics.</w:t>
          </w:r>
        </w:sdtContent>
      </w:sdt>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27,28</w:t>
      </w:r>
      <w:r w:rsidDel="00000000" w:rsidR="00000000" w:rsidRPr="00000000">
        <w:rPr>
          <w:rFonts w:ascii="Times New Roman" w:cs="Times New Roman" w:eastAsia="Times New Roman" w:hAnsi="Times New Roman"/>
          <w:b w:val="0"/>
          <w:bCs w:val="0"/>
          <w:i w:val="0"/>
          <w:iCs w:val="0"/>
          <w:sz w:val="24"/>
          <w:szCs w:val="24"/>
          <w:rtl w:val="0"/>
        </w:rPr>
        <w:t xml:space="preserve"> In overseas supply chains, this operates primarily as latent dual-use capacity rather than active military command: technical engineering standards, managerial party channels, and mobilization statutes ensure the state can access or redirect critical material flows during strategic crises without requiring routine military oversight during peacetime. In practice, ports, heavy haul rail, and airfields built for bulk minerals are designed with dock capacities, runway lengths, and floor loads capable of handling military transports and strategic stockpiles; senior managers at state run terminals frequently hold party roles or maintain direct channels to military logistics units;</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26,25</w:t>
      </w:r>
      <w:r w:rsidDel="00000000" w:rsidR="00000000" w:rsidRPr="00000000">
        <w:rPr>
          <w:rFonts w:ascii="Times New Roman" w:cs="Times New Roman" w:eastAsia="Times New Roman" w:hAnsi="Times New Roman"/>
          <w:b w:val="0"/>
          <w:bCs w:val="0"/>
          <w:i w:val="0"/>
          <w:iCs w:val="0"/>
          <w:sz w:val="24"/>
          <w:szCs w:val="24"/>
          <w:rtl w:val="0"/>
        </w:rPr>
        <w:t xml:space="preserve"> and during national crises or severe supply disruptions, statutory authority allows state agencies to prioritize state shipments, repurpose commercial fleets, or redirect raw materials into national stockpiles (Guojia Chubei).</w:t>
      </w:r>
      <w:r w:rsidDel="00000000" w:rsidR="00000000" w:rsidRPr="00000000">
        <w:rPr>
          <w:rtl w:val="0"/>
        </w:rPr>
      </w:r>
    </w:p>
    <w:p w:rsidR="00000000" w:rsidDel="00000000" w:rsidP="00000000" w:rsidRDefault="00000000" w:rsidRPr="00000000" w14:paraId="0000010F">
      <w:pPr>
        <w:rPr/>
      </w:pPr>
      <w:sdt>
        <w:sdtPr>
          <w:id w:val="1624179385"/>
          <w:tag w:val="goog_rdk_5"/>
        </w:sdtPr>
        <w:sdtContent>
          <w:r w:rsidDel="00000000" w:rsidR="00000000" w:rsidRPr="00000000">
            <w:rPr>
              <w:rFonts w:ascii="Gungsuh" w:cs="Gungsuh" w:eastAsia="Gungsuh" w:hAnsi="Gungsuh"/>
              <w:b w:val="0"/>
              <w:bCs w:val="0"/>
              <w:i w:val="0"/>
              <w:iCs w:val="0"/>
              <w:sz w:val="24"/>
              <w:szCs w:val="24"/>
              <w:rtl w:val="0"/>
            </w:rPr>
            <w:t xml:space="preserve">The interaction of SASAC mandates, policy bank risk absorption, and infrastructure development shows clearly in the Sino Congolese Mining Agreement (Sicomines / 华刚矿业) in the Democratic Republic of the Congo. SASAC brought together China Railway Group and Sinohydro in a joint venture with state-backed battery material suppliers, prioritizing secure copper and cobalt for domestic manufacturing over immediate dividends.</w:t>
          </w:r>
        </w:sdtContent>
      </w:sdt>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29</w:t>
      </w:r>
      <w:r w:rsidDel="00000000" w:rsidR="00000000" w:rsidRPr="00000000">
        <w:rPr>
          <w:rFonts w:ascii="Times New Roman" w:cs="Times New Roman" w:eastAsia="Times New Roman" w:hAnsi="Times New Roman"/>
          <w:b w:val="0"/>
          <w:bCs w:val="0"/>
          <w:i w:val="0"/>
          <w:iCs w:val="0"/>
          <w:sz w:val="24"/>
          <w:szCs w:val="24"/>
          <w:rtl w:val="0"/>
        </w:rPr>
        <w:t xml:space="preserve"> China Exim Bank funded over three billion dollars under a Resource for Infrastructure framework, with mineral sales routed through offshore escrow accounts that guaranteed debt repayments before net revenues reached local government accounts.</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29,9</w:t>
      </w:r>
      <w:sdt>
        <w:sdtPr>
          <w:id w:val="495422711"/>
          <w:tag w:val="goog_rdk_6"/>
        </w:sdtPr>
        <w:sdtContent>
          <w:r w:rsidDel="00000000" w:rsidR="00000000" w:rsidRPr="00000000">
            <w:rPr>
              <w:rFonts w:ascii="Gungsuh" w:cs="Gungsuh" w:eastAsia="Gungsuh" w:hAnsi="Gungsuh"/>
              <w:b w:val="0"/>
              <w:bCs w:val="0"/>
              <w:i w:val="0"/>
              <w:iCs w:val="0"/>
              <w:sz w:val="24"/>
              <w:szCs w:val="24"/>
              <w:rtl w:val="0"/>
            </w:rPr>
            <w:t xml:space="preserve"> And regional power shortages were resolved by building the Busanga Hydroelectric Power Station (布桑加水电站) through China Overseas Engineering Group — built under civil-military technical standards (Guofang Kexue Jishu Gongye), the facility secured reliable power for mining operations while anchoring a long-term regional presence.</w:t>
          </w:r>
        </w:sdtContent>
      </w:sdt>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30</w:t>
      </w:r>
      <w:r w:rsidDel="00000000" w:rsidR="00000000" w:rsidRPr="00000000">
        <w:rPr>
          <w:rtl w:val="0"/>
        </w:rPr>
      </w:r>
    </w:p>
    <w:p w:rsidR="00000000" w:rsidDel="00000000" w:rsidP="00000000" w:rsidRDefault="00000000" w:rsidRPr="00000000" w14:paraId="00000110">
      <w:pPr>
        <w:rPr/>
      </w:pPr>
      <w:r w:rsidDel="00000000" w:rsidR="00000000" w:rsidRPr="00000000">
        <w:rPr>
          <w:rFonts w:ascii="Times New Roman" w:cs="Times New Roman" w:eastAsia="Times New Roman" w:hAnsi="Times New Roman"/>
          <w:b w:val="0"/>
          <w:bCs w:val="0"/>
          <w:i w:val="0"/>
          <w:iCs w:val="0"/>
          <w:sz w:val="24"/>
          <w:szCs w:val="24"/>
          <w:rtl w:val="0"/>
        </w:rPr>
        <w:t xml:space="preserve">A Western, non-governmentally leveraged corporation could not remain in business, or at least remain in the same region, if it were faced with crippling underdelivery of product, governmental audits alleging ten billion dollars in undisclosed profit, and a parliament openly discussing seizure of assets. No Western corporation would stay around given such pressures upon it. Nonetheless, Sicomines remains. Beijing's other policy banks follow the same system of endurance despite illogical cost-benefit ratios. Rather, these banks renegotiated the debt upward from three billion dollars in commitment to seven billion, as well as retaining construction crews on Congolese roads.</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3,4</w:t>
      </w:r>
      <w:r w:rsidDel="00000000" w:rsidR="00000000" w:rsidRPr="00000000">
        <w:rPr>
          <w:rFonts w:ascii="Times New Roman" w:cs="Times New Roman" w:eastAsia="Times New Roman" w:hAnsi="Times New Roman"/>
          <w:b w:val="0"/>
          <w:bCs w:val="0"/>
          <w:i w:val="0"/>
          <w:iCs w:val="0"/>
          <w:sz w:val="24"/>
          <w:szCs w:val="24"/>
          <w:rtl w:val="0"/>
        </w:rPr>
        <w:t xml:space="preserve"> A lender protecting its financial interests does not act in such aggressive ways; however, a state protecting a supply line does. If a state can absorb the costs, risks, and legal concerns, the corporation's or bank's progress persists despite economically harmful circumstances. The fact that these Chinese policy banks operate in environments and under audits that would cause Western banks to flee indicates that these corporations are state-backed.</w:t>
      </w:r>
      <w:r w:rsidDel="00000000" w:rsidR="00000000" w:rsidRPr="00000000">
        <w:rPr>
          <w:rtl w:val="0"/>
        </w:rPr>
      </w:r>
    </w:p>
    <w:p w:rsidR="00000000" w:rsidDel="00000000" w:rsidP="00000000" w:rsidRDefault="00000000" w:rsidRPr="00000000" w14:paraId="00000111">
      <w:pPr>
        <w:rPr/>
      </w:pPr>
      <w:r w:rsidDel="00000000" w:rsidR="00000000" w:rsidRPr="00000000">
        <w:rPr>
          <w:rFonts w:ascii="Times New Roman" w:cs="Times New Roman" w:eastAsia="Times New Roman" w:hAnsi="Times New Roman"/>
          <w:b w:val="0"/>
          <w:bCs w:val="0"/>
          <w:i w:val="0"/>
          <w:iCs w:val="0"/>
          <w:sz w:val="24"/>
          <w:szCs w:val="24"/>
          <w:rtl w:val="0"/>
        </w:rPr>
        <w:t xml:space="preserve">This dispute has not yet been resolved; in March 2026, Kinshasa brought in external auditors to independently review Sicomines' books.</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1,2</w:t>
      </w:r>
      <w:r w:rsidDel="00000000" w:rsidR="00000000" w:rsidRPr="00000000">
        <w:rPr>
          <w:rFonts w:ascii="Times New Roman" w:cs="Times New Roman" w:eastAsia="Times New Roman" w:hAnsi="Times New Roman"/>
          <w:b w:val="0"/>
          <w:bCs w:val="0"/>
          <w:i w:val="0"/>
          <w:iCs w:val="0"/>
          <w:sz w:val="24"/>
          <w:szCs w:val="24"/>
          <w:rtl w:val="0"/>
        </w:rPr>
        <w:t xml:space="preserve"> It is only the most recent development in a process which began in 2023 of audits, debt leveraging, and all the while construction continues. Furthermore, 2023 only marked the initial shift of this process- the framework itself was established in 2008, although it has morphed significantly in the 18 years since.</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6</w:t>
      </w:r>
      <w:r w:rsidDel="00000000" w:rsidR="00000000" w:rsidRPr="00000000">
        <w:rPr>
          <w:rFonts w:ascii="Times New Roman" w:cs="Times New Roman" w:eastAsia="Times New Roman" w:hAnsi="Times New Roman"/>
          <w:b w:val="0"/>
          <w:bCs w:val="0"/>
          <w:i w:val="0"/>
          <w:iCs w:val="0"/>
          <w:sz w:val="24"/>
          <w:szCs w:val="24"/>
          <w:rtl w:val="0"/>
        </w:rPr>
        <w:t xml:space="preserve"> Regardless of the outcome of this most recent audit, the pattern of audits and repeal is cyclical; contract terms shift, financing terms move; nonetheless, Chinese state control over copper and cobalt remains firmly.</w:t>
      </w:r>
      <w:r w:rsidDel="00000000" w:rsidR="00000000" w:rsidRPr="00000000">
        <w:rPr>
          <w:rtl w:val="0"/>
        </w:rPr>
      </w:r>
    </w:p>
    <w:p w:rsidR="00000000" w:rsidDel="00000000" w:rsidP="00000000" w:rsidRDefault="00000000" w:rsidRPr="00000000" w14:paraId="00000112">
      <w:pPr>
        <w:rPr/>
      </w:pPr>
      <w:r w:rsidDel="00000000" w:rsidR="00000000" w:rsidRPr="00000000">
        <w:rPr>
          <w:rFonts w:ascii="Times New Roman" w:cs="Times New Roman" w:eastAsia="Times New Roman" w:hAnsi="Times New Roman"/>
          <w:b w:val="0"/>
          <w:bCs w:val="0"/>
          <w:i w:val="0"/>
          <w:iCs w:val="0"/>
          <w:sz w:val="24"/>
          <w:szCs w:val="24"/>
          <w:rtl w:val="0"/>
        </w:rPr>
        <w:t xml:space="preserve">While official statements emphasize market-based development, actual policy bank lending and state company capital deployments reflect shifting state priorities: a clear pivot toward energy transition minerals like lithium, cobalt, nickel, and rare earths, alongside liquidity support for distressed host states holding critical concessions. When projects face local unrest or financial strain, state lenders absorb losses to maintain physical control of supply lines where commercial lenders would exit.</w:t>
      </w:r>
      <w:r w:rsidDel="00000000" w:rsidR="00000000" w:rsidRPr="00000000">
        <w:rPr>
          <w:rtl w:val="0"/>
        </w:rPr>
      </w:r>
    </w:p>
    <w:p w:rsidR="00000000" w:rsidDel="00000000" w:rsidP="00000000" w:rsidRDefault="00000000" w:rsidRPr="00000000" w14:paraId="00000113">
      <w:pPr>
        <w:rPr/>
      </w:pPr>
      <w:r w:rsidDel="00000000" w:rsidR="00000000" w:rsidRPr="00000000">
        <w:rPr>
          <w:rFonts w:ascii="Times New Roman" w:cs="Times New Roman" w:eastAsia="Times New Roman" w:hAnsi="Times New Roman"/>
          <w:b w:val="0"/>
          <w:bCs w:val="0"/>
          <w:i w:val="0"/>
          <w:iCs w:val="0"/>
          <w:sz w:val="24"/>
          <w:szCs w:val="24"/>
          <w:rtl w:val="0"/>
        </w:rPr>
        <w:t xml:space="preserve">Western economies lack an equivalent state-directed system. Western mining and energy companies owe fiduciary duties to private shareholders, rely on commercial project finance, operate under strict governance mandates, and interact with separate national strategic reserves. Treating Chinese state-backed resource investments as simple commercial ventures misjudges their structural backing. China uses an institutional system that combines executive incentives, state-backed capital, and dual-use logistics capacity, forming a unified approach to global resource statecraft.</w:t>
      </w:r>
      <w:r w:rsidDel="00000000" w:rsidR="00000000" w:rsidRPr="00000000">
        <w:rPr>
          <w:rtl w:val="0"/>
        </w:rPr>
      </w:r>
    </w:p>
    <w:p w:rsidR="00000000" w:rsidDel="00000000" w:rsidP="00000000" w:rsidRDefault="00000000" w:rsidRPr="00000000" w14:paraId="00000114">
      <w:pPr>
        <w:rPr/>
      </w:pPr>
      <w:r w:rsidDel="00000000" w:rsidR="00000000" w:rsidRPr="00000000">
        <w:rPr>
          <w:rFonts w:ascii="Times New Roman" w:cs="Times New Roman" w:eastAsia="Times New Roman" w:hAnsi="Times New Roman"/>
          <w:b w:val="0"/>
          <w:bCs w:val="0"/>
          <w:i w:val="0"/>
          <w:iCs w:val="0"/>
          <w:sz w:val="24"/>
          <w:szCs w:val="24"/>
          <w:rtl w:val="0"/>
        </w:rPr>
        <w:t xml:space="preserve">The DFC's 2027 budget request is framed around critical mineral lending, which in turn named single deals with commercial return profiles.</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38</w:t>
      </w:r>
      <w:r w:rsidDel="00000000" w:rsidR="00000000" w:rsidRPr="00000000">
        <w:rPr>
          <w:rFonts w:ascii="Times New Roman" w:cs="Times New Roman" w:eastAsia="Times New Roman" w:hAnsi="Times New Roman"/>
          <w:b w:val="0"/>
          <w:bCs w:val="0"/>
          <w:i w:val="0"/>
          <w:iCs w:val="0"/>
          <w:sz w:val="24"/>
          <w:szCs w:val="24"/>
          <w:rtl w:val="0"/>
        </w:rPr>
        <w:t xml:space="preserve"> The best example of which is the December 2025 Lobito Atlantic Railway loan, which connected Angola, the DRC and Zambia, with a capacity for 4.6M metric tons.</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32,33</w:t>
      </w:r>
      <w:r w:rsidDel="00000000" w:rsidR="00000000" w:rsidRPr="00000000">
        <w:rPr>
          <w:rFonts w:ascii="Times New Roman" w:cs="Times New Roman" w:eastAsia="Times New Roman" w:hAnsi="Times New Roman"/>
          <w:b w:val="0"/>
          <w:bCs w:val="0"/>
          <w:i w:val="0"/>
          <w:iCs w:val="0"/>
          <w:sz w:val="24"/>
          <w:szCs w:val="24"/>
          <w:rtl w:val="0"/>
        </w:rPr>
        <w:t xml:space="preserve"> Not too distant, the February 2026 Serra Verde contract in Brazil established a $565M loan.</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34</w:t>
      </w:r>
      <w:r w:rsidDel="00000000" w:rsidR="00000000" w:rsidRPr="00000000">
        <w:rPr>
          <w:rFonts w:ascii="Times New Roman" w:cs="Times New Roman" w:eastAsia="Times New Roman" w:hAnsi="Times New Roman"/>
          <w:b w:val="0"/>
          <w:bCs w:val="0"/>
          <w:i w:val="0"/>
          <w:iCs w:val="0"/>
          <w:sz w:val="24"/>
          <w:szCs w:val="24"/>
          <w:rtl w:val="0"/>
        </w:rPr>
        <w:t xml:space="preserve"> Congress reauthorization in 2025 raised investment for the DFC as well as providing a direct role in the US-Ukraine Reconstruction Investment Fund (URIF); however these follow in individually-priced deals, not open-ended absorption mechanisms, the way the Chinese government is able to absorb costs.</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38</w:t>
      </w:r>
      <w:r w:rsidDel="00000000" w:rsidR="00000000" w:rsidRPr="00000000">
        <w:rPr>
          <w:rFonts w:ascii="Times New Roman" w:cs="Times New Roman" w:eastAsia="Times New Roman" w:hAnsi="Times New Roman"/>
          <w:b w:val="0"/>
          <w:bCs w:val="0"/>
          <w:i w:val="0"/>
          <w:iCs w:val="0"/>
          <w:sz w:val="24"/>
          <w:szCs w:val="24"/>
          <w:rtl w:val="0"/>
        </w:rPr>
        <w:t xml:space="preserve"> Furthermore, Trump granted DFC authority for domestic mineral investment through the Defense Production Act of 2025; then the DFC stood up a $20B maritime reinsurance facility during the Iran conflict.</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38,37</w:t>
      </w:r>
      <w:r w:rsidDel="00000000" w:rsidR="00000000" w:rsidRPr="00000000">
        <w:rPr>
          <w:rFonts w:ascii="Times New Roman" w:cs="Times New Roman" w:eastAsia="Times New Roman" w:hAnsi="Times New Roman"/>
          <w:b w:val="0"/>
          <w:bCs w:val="0"/>
          <w:i w:val="0"/>
          <w:iCs w:val="0"/>
          <w:sz w:val="24"/>
          <w:szCs w:val="24"/>
          <w:rtl w:val="0"/>
        </w:rPr>
        <w:t xml:space="preserve"> Piece by piece, the DFC is expanding in its utility as well as abilities, nonetheless it proceeds on a deal-by-deal basis because fundamentally it is not a policy bank built to absorb losses indefinitely. Instead it serves as a release valve in regions where China dominates the US due to governmental absorption of risk and costs. The EXIM Project Vault served as a loan to kickstart the Strategic Critical Minerals Reserve; a loan which was approved February 2, 2026.</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31</w:t>
      </w:r>
      <w:r w:rsidDel="00000000" w:rsidR="00000000" w:rsidRPr="00000000">
        <w:rPr>
          <w:rFonts w:ascii="Times New Roman" w:cs="Times New Roman" w:eastAsia="Times New Roman" w:hAnsi="Times New Roman"/>
          <w:b w:val="0"/>
          <w:bCs w:val="0"/>
          <w:i w:val="0"/>
          <w:iCs w:val="0"/>
          <w:sz w:val="24"/>
          <w:szCs w:val="24"/>
          <w:rtl w:val="0"/>
        </w:rPr>
        <w:t xml:space="preserve"> The project of Strategic Critical Reserve is directly akin to that of the Strategic Petroleum Reserve in practice as much in name, the stockpiling of critical resources to establish leverage and insulation from chokepoint politics in the future.</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31,35</w:t>
      </w:r>
      <w:r w:rsidDel="00000000" w:rsidR="00000000" w:rsidRPr="00000000">
        <w:rPr>
          <w:rFonts w:ascii="Times New Roman" w:cs="Times New Roman" w:eastAsia="Times New Roman" w:hAnsi="Times New Roman"/>
          <w:b w:val="0"/>
          <w:bCs w:val="0"/>
          <w:i w:val="0"/>
          <w:iCs w:val="0"/>
          <w:sz w:val="24"/>
          <w:szCs w:val="24"/>
          <w:rtl w:val="0"/>
        </w:rPr>
        <w:t xml:space="preserve"> Despite that, retaining resources does not alter the fact that China retain the world's processing capabilities, something the US desperately lacks. The result therein is a US with piles of minerals and no real way to refine them. Although it is a strong first step, it does not change the geopolitical landscape of critical mineral competition at face value. EXIM attempts to insulate the US supply from Chinese minerals by directly excluding Chinese-linked projects from its crucial-minerals financing facility, which merely changes the process of screening, not actually absorbing the competition or its costs.</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35</w:t>
      </w:r>
      <w:r w:rsidDel="00000000" w:rsidR="00000000" w:rsidRPr="00000000">
        <w:rPr>
          <w:rFonts w:ascii="Times New Roman" w:cs="Times New Roman" w:eastAsia="Times New Roman" w:hAnsi="Times New Roman"/>
          <w:b w:val="0"/>
          <w:bCs w:val="0"/>
          <w:i w:val="0"/>
          <w:iCs w:val="0"/>
          <w:sz w:val="24"/>
          <w:szCs w:val="24"/>
          <w:rtl w:val="0"/>
        </w:rPr>
        <w:t xml:space="preserve"> Additionally this does not prevent Chinese companies circumventing through proxies. The Chinese Military Companies Sanctions program, established through EO 13959 and amended further by EO 14032, provides the Treasury a unique and specific tool for targeting PRC state-linked firms by designating entities; which falls short because it only designates individual firms and entities, not the entire supply chain.</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40</w:t>
      </w:r>
      <w:r w:rsidDel="00000000" w:rsidR="00000000" w:rsidRPr="00000000">
        <w:rPr>
          <w:rFonts w:ascii="Times New Roman" w:cs="Times New Roman" w:eastAsia="Times New Roman" w:hAnsi="Times New Roman"/>
          <w:b w:val="0"/>
          <w:bCs w:val="0"/>
          <w:i w:val="0"/>
          <w:iCs w:val="0"/>
          <w:sz w:val="24"/>
          <w:szCs w:val="24"/>
          <w:rtl w:val="0"/>
        </w:rPr>
        <w:t xml:space="preserve"> To cut off one point of the supply chain does not mean the entire chain is dead- one branch on a tree is just that, merely a branch. SASAC however substitutes a different policy bank or consortium for a partner not on that list, thus circumventing the Treasury. Such actions were taken by Russian sanction evasions on the designation of Keremet Bank for contributing to PSB transactions, so the Treasury does have a history of pursuing up the supply chain, but it has not yet been applied to Chinese policy-banks as it has with Russian ones.</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39</w:t>
      </w:r>
      <w:r w:rsidDel="00000000" w:rsidR="00000000" w:rsidRPr="00000000">
        <w:rPr>
          <w:rFonts w:ascii="Times New Roman" w:cs="Times New Roman" w:eastAsia="Times New Roman" w:hAnsi="Times New Roman"/>
          <w:b w:val="0"/>
          <w:bCs w:val="0"/>
          <w:i w:val="0"/>
          <w:iCs w:val="0"/>
          <w:sz w:val="24"/>
          <w:szCs w:val="24"/>
          <w:rtl w:val="0"/>
        </w:rPr>
        <w:t xml:space="preserve"> Lastly, the State Department archive describes a final policy, MSP, to evaluate project compatibility with ESG standards and MSP objectives, to screen and confirm the banking system for credibility and risk relative to China.</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36</w:t>
      </w:r>
      <w:r w:rsidDel="00000000" w:rsidR="00000000" w:rsidRPr="00000000">
        <w:rPr>
          <w:rFonts w:ascii="Times New Roman" w:cs="Times New Roman" w:eastAsia="Times New Roman" w:hAnsi="Times New Roman"/>
          <w:b w:val="0"/>
          <w:bCs w:val="0"/>
          <w:i w:val="0"/>
          <w:iCs w:val="0"/>
          <w:sz w:val="24"/>
          <w:szCs w:val="24"/>
          <w:rtl w:val="0"/>
        </w:rPr>
        <w:t xml:space="preserve"> FORGE was a successor program established in February of 2026 and serves the same role of policies and projects to advance initiatives to strengthen, and diversify the critical mineral supply chains.</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36</w:t>
      </w:r>
      <w:r w:rsidDel="00000000" w:rsidR="00000000" w:rsidRPr="00000000">
        <w:rPr>
          <w:rFonts w:ascii="Times New Roman" w:cs="Times New Roman" w:eastAsia="Times New Roman" w:hAnsi="Times New Roman"/>
          <w:b w:val="0"/>
          <w:bCs w:val="0"/>
          <w:i w:val="0"/>
          <w:iCs w:val="0"/>
          <w:sz w:val="24"/>
          <w:szCs w:val="24"/>
          <w:rtl w:val="0"/>
        </w:rPr>
        <w:t xml:space="preserve"> Fundamentally though, the West still retains a blind spot in the critical mineral supply chain; actions are often seen largely as resolutions, not first steps. However that is exactly what they are, the start of something, not the conclusion. As such, Washington cannot afford to rest on the few laurels it has.</w:t>
      </w:r>
      <w:r w:rsidDel="00000000" w:rsidR="00000000" w:rsidRPr="00000000">
        <w:rPr>
          <w:rtl w:val="0"/>
        </w:rPr>
      </w:r>
    </w:p>
    <w:p w:rsidR="00000000" w:rsidDel="00000000" w:rsidP="00000000" w:rsidRDefault="00000000" w:rsidRPr="00000000" w14:paraId="00000115">
      <w:pPr>
        <w:rPr/>
      </w:pPr>
      <w:r w:rsidDel="00000000" w:rsidR="00000000" w:rsidRPr="00000000">
        <w:rPr>
          <w:rFonts w:ascii="Times New Roman" w:cs="Times New Roman" w:eastAsia="Times New Roman" w:hAnsi="Times New Roman"/>
          <w:b w:val="0"/>
          <w:bCs w:val="0"/>
          <w:i w:val="0"/>
          <w:iCs w:val="0"/>
          <w:sz w:val="24"/>
          <w:szCs w:val="24"/>
          <w:rtl w:val="0"/>
        </w:rPr>
        <w:t xml:space="preserve">The knee-jerk response seems immediately to be a larger fund for the DFC or a longer sanctions list to limit Beijing's economic power. Instead, it should be underwriting what China is able to underwrite and thereby take when the US flees. DFC's investment committee screens critical minerals the way a commercial bank does, through political risk and exposure, expected return with a project-finance horizon, probability of success and a payout.</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31</w:t>
      </w:r>
      <w:r w:rsidDel="00000000" w:rsidR="00000000" w:rsidRPr="00000000">
        <w:rPr>
          <w:rFonts w:ascii="Times New Roman" w:cs="Times New Roman" w:eastAsia="Times New Roman" w:hAnsi="Times New Roman"/>
          <w:b w:val="0"/>
          <w:bCs w:val="0"/>
          <w:i w:val="0"/>
          <w:iCs w:val="0"/>
          <w:sz w:val="24"/>
          <w:szCs w:val="24"/>
          <w:rtl w:val="0"/>
        </w:rPr>
        <w:t xml:space="preserve"> The December 2025 Lobito Atlantic Railway loan as well as the Serra Verde loan both function in the same way, based on commercial viability.</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32,34</w:t>
      </w:r>
      <w:r w:rsidDel="00000000" w:rsidR="00000000" w:rsidRPr="00000000">
        <w:rPr>
          <w:rFonts w:ascii="Times New Roman" w:cs="Times New Roman" w:eastAsia="Times New Roman" w:hAnsi="Times New Roman"/>
          <w:b w:val="0"/>
          <w:bCs w:val="0"/>
          <w:i w:val="0"/>
          <w:iCs w:val="0"/>
          <w:sz w:val="24"/>
          <w:szCs w:val="24"/>
          <w:rtl w:val="0"/>
        </w:rPr>
        <w:t xml:space="preserve"> The cost, and room for China to overtake the US as it has, is in the calculations deeming what Chinese policy is able to absorb in such difficult environments. China sees critical minerals not as an investment of the free market but instead as tools for international leverage and necessities of national security. That is reflected in the policies China has enacted in willingness to endure costs in corporate extensions of the government. The issue is fundamentally that China possesses an absorption strategy at the US lacks, the DFC, if made loss-absorbent by design, would provide a critical criteria for establishing real competition with China in the race to claim critical minerals. Five-to-seven year horizon financial defaults, a traditional commercial loan, is unsubstantial in regions of the world which are volatile, highly risk-inducing, but critical for those exact reasons. The 2026 EXIM Project Vault provided a motion in the right direction, in that a price-reference and demand-signal mechanism were modeled on the Strategic Petroleum Reserve as opposed to the whims of the market.</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31,35</w:t>
      </w:r>
      <w:r w:rsidDel="00000000" w:rsidR="00000000" w:rsidRPr="00000000">
        <w:rPr>
          <w:rFonts w:ascii="Times New Roman" w:cs="Times New Roman" w:eastAsia="Times New Roman" w:hAnsi="Times New Roman"/>
          <w:b w:val="0"/>
          <w:bCs w:val="0"/>
          <w:i w:val="0"/>
          <w:iCs w:val="0"/>
          <w:sz w:val="24"/>
          <w:szCs w:val="24"/>
          <w:rtl w:val="0"/>
        </w:rPr>
        <w:t xml:space="preserve"> A reserve which instead stabilizes the existing production is not a substitute for financing that outlasts a state-backed competitor at the extraction point. Paired with the minerals coalition Washington now runs through FORGE, the successor framework Secretary Rubio announced in February 2026 to replace the Minerals Security Partnership, a loss-absorption benchmark would let Washington compete on the actual terrain Beijing is playing on, instead of a terrain that only Western firms are constrained by.</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36</w:t>
      </w:r>
      <w:r w:rsidDel="00000000" w:rsidR="00000000" w:rsidRPr="00000000">
        <w:rPr>
          <w:rtl w:val="0"/>
        </w:rPr>
      </w:r>
    </w:p>
    <w:p w:rsidR="00000000" w:rsidDel="00000000" w:rsidP="00000000" w:rsidRDefault="00000000" w:rsidRPr="00000000" w14:paraId="00000116">
      <w:pPr>
        <w:rPr/>
      </w:pPr>
      <w:r w:rsidDel="00000000" w:rsidR="00000000" w:rsidRPr="00000000">
        <w:rPr>
          <w:rFonts w:ascii="Times New Roman" w:cs="Times New Roman" w:eastAsia="Times New Roman" w:hAnsi="Times New Roman"/>
          <w:b w:val="0"/>
          <w:bCs w:val="0"/>
          <w:i w:val="0"/>
          <w:iCs w:val="0"/>
          <w:sz w:val="24"/>
          <w:szCs w:val="24"/>
          <w:rtl w:val="0"/>
        </w:rPr>
        <w:t xml:space="preserve">The audit established in Kinshasa will eventually produce a figure which Beijing will agree to, given a revised split of the proceeds. The consortium APCSC appointed in March 2026, led by Mayer Brown alongside ATF-PCSC and SRK Consulting is as such reviewing eighteen years of the program, from the launch in April 2008 to its amending in March 2024.</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1,6</w:t>
      </w:r>
      <w:r w:rsidDel="00000000" w:rsidR="00000000" w:rsidRPr="00000000">
        <w:rPr>
          <w:rFonts w:ascii="Times New Roman" w:cs="Times New Roman" w:eastAsia="Times New Roman" w:hAnsi="Times New Roman"/>
          <w:b w:val="0"/>
          <w:bCs w:val="0"/>
          <w:i w:val="0"/>
          <w:iCs w:val="0"/>
          <w:sz w:val="24"/>
          <w:szCs w:val="24"/>
          <w:rtl w:val="0"/>
        </w:rPr>
        <w:t xml:space="preserve"> Washington, as a result, cannot read the result of that review as an establishment of fragile system; Sicomines has survived every renegotiation since 2008.</w:t>
      </w:r>
      <w:r w:rsidDel="00000000" w:rsidR="00000000" w:rsidRPr="00000000">
        <w:rPr>
          <w:rFonts w:ascii="Times New Roman" w:cs="Times New Roman" w:eastAsia="Times New Roman" w:hAnsi="Times New Roman"/>
          <w:b w:val="0"/>
          <w:bCs w:val="0"/>
          <w:i w:val="0"/>
          <w:iCs w:val="0"/>
          <w:sz w:val="24"/>
          <w:szCs w:val="24"/>
          <w:vertAlign w:val="superscript"/>
          <w:rtl w:val="0"/>
        </w:rPr>
        <w:t xml:space="preserve">4</w:t>
      </w:r>
      <w:r w:rsidDel="00000000" w:rsidR="00000000" w:rsidRPr="00000000">
        <w:rPr>
          <w:rFonts w:ascii="Times New Roman" w:cs="Times New Roman" w:eastAsia="Times New Roman" w:hAnsi="Times New Roman"/>
          <w:b w:val="0"/>
          <w:bCs w:val="0"/>
          <w:i w:val="0"/>
          <w:iCs w:val="0"/>
          <w:sz w:val="24"/>
          <w:szCs w:val="24"/>
          <w:rtl w:val="0"/>
        </w:rPr>
        <w:t xml:space="preserve"> The insulation of the company, rather than it's weakness is present. A resilient opponent is much more concerning than a temporarily strong one. China is not a flash in the pan, it is instead working to build an empire of necessities. Such a chokepoint is not plausible for a world of American hegemony.</w:t>
      </w:r>
      <w:r w:rsidDel="00000000" w:rsidR="00000000" w:rsidRPr="00000000">
        <w:rPr>
          <w:rtl w:val="0"/>
        </w:rPr>
      </w:r>
    </w:p>
    <w:p w:rsidR="00000000" w:rsidDel="00000000" w:rsidP="00000000" w:rsidRDefault="00000000" w:rsidRPr="00000000" w14:paraId="00000117">
      <w:pPr>
        <w:rPr/>
      </w:pPr>
      <w:r w:rsidDel="00000000" w:rsidR="00000000" w:rsidRPr="00000000">
        <w:br w:type="page"/>
      </w:r>
      <w:r w:rsidDel="00000000" w:rsidR="00000000" w:rsidRPr="00000000">
        <w:rPr>
          <w:rtl w:val="0"/>
        </w:rPr>
      </w:r>
    </w:p>
    <w:p w:rsidR="00000000" w:rsidDel="00000000" w:rsidP="00000000" w:rsidRDefault="00000000" w:rsidRPr="00000000" w14:paraId="00000118">
      <w:pPr>
        <w:pStyle w:val="Heading1"/>
        <w:pBdr>
          <w:bottom w:color="1b3a5c" w:space="4" w:sz="6" w:val="single"/>
        </w:pBdr>
        <w:spacing w:after="200" w:before="300" w:line="276" w:lineRule="auto"/>
        <w:rPr/>
      </w:pPr>
      <w:r w:rsidDel="00000000" w:rsidR="00000000" w:rsidRPr="00000000">
        <w:rPr>
          <w:rFonts w:ascii="Times New Roman" w:cs="Times New Roman" w:eastAsia="Times New Roman" w:hAnsi="Times New Roman"/>
          <w:b w:val="1"/>
          <w:bCs w:val="1"/>
          <w:i w:val="0"/>
          <w:iCs w:val="0"/>
          <w:sz w:val="32"/>
          <w:szCs w:val="32"/>
          <w:rtl w:val="0"/>
        </w:rPr>
        <w:t xml:space="preserve">Notes &amp; References</w:t>
      </w:r>
      <w:r w:rsidDel="00000000" w:rsidR="00000000" w:rsidRPr="00000000">
        <w:rPr>
          <w:rtl w:val="0"/>
        </w:rPr>
      </w:r>
    </w:p>
    <w:p w:rsidR="00000000" w:rsidDel="00000000" w:rsidP="00000000" w:rsidRDefault="00000000" w:rsidRPr="00000000" w14:paraId="00000119">
      <w:pPr>
        <w:pStyle w:val="Heading2"/>
        <w:rPr/>
      </w:pPr>
      <w:r w:rsidDel="00000000" w:rsidR="00000000" w:rsidRPr="00000000">
        <w:rPr>
          <w:rFonts w:ascii="Times New Roman" w:cs="Times New Roman" w:eastAsia="Times New Roman" w:hAnsi="Times New Roman"/>
          <w:b w:val="1"/>
          <w:bCs w:val="1"/>
          <w:i w:val="0"/>
          <w:iCs w:val="0"/>
          <w:sz w:val="24"/>
          <w:szCs w:val="24"/>
          <w:rtl w:val="0"/>
        </w:rPr>
        <w:t xml:space="preserve">Notes — From Critical Minerals to Critical Components</w:t>
      </w:r>
      <w:r w:rsidDel="00000000" w:rsidR="00000000" w:rsidRPr="00000000">
        <w:rPr>
          <w:rtl w:val="0"/>
        </w:rPr>
      </w:r>
    </w:p>
    <w:p w:rsidR="00000000" w:rsidDel="00000000" w:rsidP="00000000" w:rsidRDefault="00000000" w:rsidRPr="00000000" w14:paraId="0000011A">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1. alongside China — https://pubs.usgs.gov/periodicals/mcs2026/mcs2026-rare-earths-heavy.pdf</w:t>
      </w:r>
      <w:r w:rsidDel="00000000" w:rsidR="00000000" w:rsidRPr="00000000">
        <w:rPr>
          <w:rtl w:val="0"/>
        </w:rPr>
      </w:r>
    </w:p>
    <w:p w:rsidR="00000000" w:rsidDel="00000000" w:rsidP="00000000" w:rsidRDefault="00000000" w:rsidRPr="00000000" w14:paraId="0000011B">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2. Washington's own stockpile accounting now tracks this dispersion directly — https://www.usgs.gov/news/national-news-release/value-us-mineral-production-rose-last-year-driven-precious-metals-prices</w:t>
      </w:r>
      <w:r w:rsidDel="00000000" w:rsidR="00000000" w:rsidRPr="00000000">
        <w:rPr>
          <w:rtl w:val="0"/>
        </w:rPr>
      </w:r>
    </w:p>
    <w:p w:rsidR="00000000" w:rsidDel="00000000" w:rsidP="00000000" w:rsidRDefault="00000000" w:rsidRPr="00000000" w14:paraId="0000011C">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3. roughly 90 percent of global capacity — https://www.congress.gov/crs-product/IF13171</w:t>
      </w:r>
      <w:r w:rsidDel="00000000" w:rsidR="00000000" w:rsidRPr="00000000">
        <w:rPr>
          <w:rtl w:val="0"/>
        </w:rPr>
      </w:r>
    </w:p>
    <w:p w:rsidR="00000000" w:rsidDel="00000000" w:rsidP="00000000" w:rsidRDefault="00000000" w:rsidRPr="00000000" w14:paraId="0000011D">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4. 94 percent — https://www.congress.gov/crs-product/IF13171</w:t>
      </w:r>
      <w:r w:rsidDel="00000000" w:rsidR="00000000" w:rsidRPr="00000000">
        <w:rPr>
          <w:rtl w:val="0"/>
        </w:rPr>
      </w:r>
    </w:p>
    <w:p w:rsidR="00000000" w:rsidDel="00000000" w:rsidP="00000000" w:rsidRDefault="00000000" w:rsidRPr="00000000" w14:paraId="0000011E">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5. quantitative research in Resources Policy — https://doi.org/10.1016/j.resourpol.2014.11.007</w:t>
      </w:r>
      <w:r w:rsidDel="00000000" w:rsidR="00000000" w:rsidRPr="00000000">
        <w:rPr>
          <w:rtl w:val="0"/>
        </w:rPr>
      </w:r>
    </w:p>
    <w:p w:rsidR="00000000" w:rsidDel="00000000" w:rsidP="00000000" w:rsidRDefault="00000000" w:rsidRPr="00000000" w14:paraId="0000011F">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6. Zhang and colleagues — https://doi.org/10.1016/j.resourpol.2014.11.007</w:t>
      </w:r>
      <w:r w:rsidDel="00000000" w:rsidR="00000000" w:rsidRPr="00000000">
        <w:rPr>
          <w:rtl w:val="0"/>
        </w:rPr>
      </w:r>
    </w:p>
    <w:p w:rsidR="00000000" w:rsidDel="00000000" w:rsidP="00000000" w:rsidRDefault="00000000" w:rsidRPr="00000000" w14:paraId="00000120">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7. Barteková and Kemp's regional comparison — https://ideas.repec.org/a/eee/jrpoli/v49y2016icp153-164.html</w:t>
      </w:r>
      <w:r w:rsidDel="00000000" w:rsidR="00000000" w:rsidRPr="00000000">
        <w:rPr>
          <w:rtl w:val="0"/>
        </w:rPr>
      </w:r>
    </w:p>
    <w:p w:rsidR="00000000" w:rsidDel="00000000" w:rsidP="00000000" w:rsidRDefault="00000000" w:rsidRPr="00000000" w14:paraId="00000121">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8. Massari and Ruberti's earlier survey — https://doi.org/10.1016/j.resourpol.2013.03.002</w:t>
      </w:r>
      <w:r w:rsidDel="00000000" w:rsidR="00000000" w:rsidRPr="00000000">
        <w:rPr>
          <w:rtl w:val="0"/>
        </w:rPr>
      </w:r>
    </w:p>
    <w:p w:rsidR="00000000" w:rsidDel="00000000" w:rsidP="00000000" w:rsidRDefault="00000000" w:rsidRPr="00000000" w14:paraId="00000122">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9. dynamic partial-equilibrium model of metal markets — https://ideas.repec.org/p/zbw/zewdip/14005.html</w:t>
      </w:r>
      <w:r w:rsidDel="00000000" w:rsidR="00000000" w:rsidRPr="00000000">
        <w:rPr>
          <w:rtl w:val="0"/>
        </w:rPr>
      </w:r>
    </w:p>
    <w:p w:rsidR="00000000" w:rsidDel="00000000" w:rsidP="00000000" w:rsidRDefault="00000000" w:rsidRPr="00000000" w14:paraId="00000123">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10. catastrophe-progression early-warning framework — https://doi.org/10.1016/j.resourpol.2021.102173</w:t>
      </w:r>
      <w:r w:rsidDel="00000000" w:rsidR="00000000" w:rsidRPr="00000000">
        <w:rPr>
          <w:rtl w:val="0"/>
        </w:rPr>
      </w:r>
    </w:p>
    <w:p w:rsidR="00000000" w:rsidDel="00000000" w:rsidP="00000000" w:rsidRDefault="00000000" w:rsidRPr="00000000" w14:paraId="00000124">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11. 2023 comparative index — https://doi.org/10.1016/j.resourpol.2023.103903</w:t>
      </w:r>
      <w:r w:rsidDel="00000000" w:rsidR="00000000" w:rsidRPr="00000000">
        <w:rPr>
          <w:rtl w:val="0"/>
        </w:rPr>
      </w:r>
    </w:p>
    <w:p w:rsidR="00000000" w:rsidDel="00000000" w:rsidP="00000000" w:rsidRDefault="00000000" w:rsidRPr="00000000" w14:paraId="00000125">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12. a line China watchers have repeated ever since — https://www.csis.org/analysis/rare-earths-next-element-trade-war</w:t>
      </w:r>
      <w:r w:rsidDel="00000000" w:rsidR="00000000" w:rsidRPr="00000000">
        <w:rPr>
          <w:rtl w:val="0"/>
        </w:rPr>
      </w:r>
    </w:p>
    <w:p w:rsidR="00000000" w:rsidDel="00000000" w:rsidP="00000000" w:rsidRDefault="00000000" w:rsidRPr="00000000" w14:paraId="00000126">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13. appears to have entered Western reporting only in 2009 — https://dominotheory.com/how-a-deng-xiaoping-quote-became-china-watchers-favorite-anecdote/</w:t>
      </w:r>
      <w:r w:rsidDel="00000000" w:rsidR="00000000" w:rsidRPr="00000000">
        <w:rPr>
          <w:rtl w:val="0"/>
        </w:rPr>
      </w:r>
    </w:p>
    <w:p w:rsidR="00000000" w:rsidDel="00000000" w:rsidP="00000000" w:rsidRDefault="00000000" w:rsidRPr="00000000" w14:paraId="00000127">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14. Wübbeke's policy history — https://ideas.repec.org/a/eee/jrpoli/v38y2013i3p384-394.html</w:t>
      </w:r>
      <w:r w:rsidDel="00000000" w:rsidR="00000000" w:rsidRPr="00000000">
        <w:rPr>
          <w:rtl w:val="0"/>
        </w:rPr>
      </w:r>
    </w:p>
    <w:p w:rsidR="00000000" w:rsidDel="00000000" w:rsidP="00000000" w:rsidRDefault="00000000" w:rsidRPr="00000000" w14:paraId="00000128">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15. roughly two months in 2010 — https://www.csis.org/analysis/rare-earths-next-element-trade-war</w:t>
      </w:r>
      <w:r w:rsidDel="00000000" w:rsidR="00000000" w:rsidRPr="00000000">
        <w:rPr>
          <w:rtl w:val="0"/>
        </w:rPr>
      </w:r>
    </w:p>
    <w:p w:rsidR="00000000" w:rsidDel="00000000" w:rsidP="00000000" w:rsidRDefault="00000000" w:rsidRPr="00000000" w14:paraId="00000129">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16. owned by Chinese firms operating abroad — https://www.iea.org/reports/global-critical-minerals-outlook-2025/regional-snapshots</w:t>
      </w:r>
      <w:r w:rsidDel="00000000" w:rsidR="00000000" w:rsidRPr="00000000">
        <w:rPr>
          <w:rtl w:val="0"/>
        </w:rPr>
      </w:r>
    </w:p>
    <w:p w:rsidR="00000000" w:rsidDel="00000000" w:rsidP="00000000" w:rsidRDefault="00000000" w:rsidRPr="00000000" w14:paraId="0000012A">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17. August 2025 shift to centralized, traceable state control — https://jamestown.org/rare-earth-regulation-shifts-from-decentralized-planning-to-centralized-control/</w:t>
      </w:r>
      <w:r w:rsidDel="00000000" w:rsidR="00000000" w:rsidRPr="00000000">
        <w:rPr>
          <w:rtl w:val="0"/>
        </w:rPr>
      </w:r>
    </w:p>
    <w:p w:rsidR="00000000" w:rsidDel="00000000" w:rsidP="00000000" w:rsidRDefault="00000000" w:rsidRPr="00000000" w14:paraId="0000012B">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18. WTO panel ruled against Beijing in 2014 — https://academic.oup.com/jiel/article-abstract/15/4/971/862183</w:t>
      </w:r>
      <w:r w:rsidDel="00000000" w:rsidR="00000000" w:rsidRPr="00000000">
        <w:rPr>
          <w:rtl w:val="0"/>
        </w:rPr>
      </w:r>
    </w:p>
    <w:p w:rsidR="00000000" w:rsidDel="00000000" w:rsidP="00000000" w:rsidRDefault="00000000" w:rsidRPr="00000000" w14:paraId="0000012C">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19. Legal scholarship on the case — https://academic.oup.com/jiel/article-abstract/14/4/765/838799</w:t>
      </w:r>
      <w:r w:rsidDel="00000000" w:rsidR="00000000" w:rsidRPr="00000000">
        <w:rPr>
          <w:rtl w:val="0"/>
        </w:rPr>
      </w:r>
    </w:p>
    <w:p w:rsidR="00000000" w:rsidDel="00000000" w:rsidP="00000000" w:rsidRDefault="00000000" w:rsidRPr="00000000" w14:paraId="0000012D">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20. OECD's own trade-policy research on export restrictions — https://www.oecd.org/en/publications/export-restrictions-on-strategic-raw-materials-and-their-impact-on-trade_5km7hxvhc9xn-en.html</w:t>
      </w:r>
      <w:r w:rsidDel="00000000" w:rsidR="00000000" w:rsidRPr="00000000">
        <w:rPr>
          <w:rtl w:val="0"/>
        </w:rPr>
      </w:r>
    </w:p>
    <w:p w:rsidR="00000000" w:rsidDel="00000000" w:rsidP="00000000" w:rsidRDefault="00000000" w:rsidRPr="00000000" w14:paraId="0000012E">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21. later inventory of restrictive measures worldwide — https://www.oecd.org/en/publications/taking-stock-of-measures-restricting-the-export-of-raw-materials_5k9bxfqvkw33-en.html</w:t>
      </w:r>
      <w:r w:rsidDel="00000000" w:rsidR="00000000" w:rsidRPr="00000000">
        <w:rPr>
          <w:rtl w:val="0"/>
        </w:rPr>
      </w:r>
    </w:p>
    <w:p w:rsidR="00000000" w:rsidDel="00000000" w:rsidP="00000000" w:rsidRDefault="00000000" w:rsidRPr="00000000" w14:paraId="0000012F">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22. how such trade restrictions distort global welfare — https://www.wto.org/english/res_e/reser_e/ersd201207_e.pdf</w:t>
      </w:r>
      <w:r w:rsidDel="00000000" w:rsidR="00000000" w:rsidRPr="00000000">
        <w:rPr>
          <w:rtl w:val="0"/>
        </w:rPr>
      </w:r>
    </w:p>
    <w:p w:rsidR="00000000" w:rsidDel="00000000" w:rsidP="00000000" w:rsidRDefault="00000000" w:rsidRPr="00000000" w14:paraId="00000130">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23. CSIS's timeline of the escalation — https://www.csis.org/analysis/beyond-rare-earths-chinas-growing-threat-gallium-supply-chains</w:t>
      </w:r>
      <w:r w:rsidDel="00000000" w:rsidR="00000000" w:rsidRPr="00000000">
        <w:rPr>
          <w:rtl w:val="0"/>
        </w:rPr>
      </w:r>
    </w:p>
    <w:p w:rsidR="00000000" w:rsidDel="00000000" w:rsidP="00000000" w:rsidRDefault="00000000" w:rsidRPr="00000000" w14:paraId="00000131">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24. export volumes of both metals collapsed within months — https://www.usitc.gov/publications/332/executive_briefings/ebot_germanium_and_gallium.pdf</w:t>
      </w:r>
      <w:r w:rsidDel="00000000" w:rsidR="00000000" w:rsidRPr="00000000">
        <w:rPr>
          <w:rtl w:val="0"/>
        </w:rPr>
      </w:r>
    </w:p>
    <w:p w:rsidR="00000000" w:rsidDel="00000000" w:rsidP="00000000" w:rsidRDefault="00000000" w:rsidRPr="00000000" w14:paraId="00000132">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25. 0.1 percent de minimis threshold — https://cset.georgetown.edu/publication/mofcom-notice-2025-61/</w:t>
      </w:r>
      <w:r w:rsidDel="00000000" w:rsidR="00000000" w:rsidRPr="00000000">
        <w:rPr>
          <w:rtl w:val="0"/>
        </w:rPr>
      </w:r>
    </w:p>
    <w:p w:rsidR="00000000" w:rsidDel="00000000" w:rsidP="00000000" w:rsidRDefault="00000000" w:rsidRPr="00000000" w14:paraId="00000133">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26. a controlled climb up the value chain — https://anderseninstitute.org/chinas-export-control-architecture-and-its-use-of-critical-minerals-as-strategic-pressure-points/</w:t>
      </w:r>
      <w:r w:rsidDel="00000000" w:rsidR="00000000" w:rsidRPr="00000000">
        <w:rPr>
          <w:rtl w:val="0"/>
        </w:rPr>
      </w:r>
    </w:p>
    <w:p w:rsidR="00000000" w:rsidDel="00000000" w:rsidP="00000000" w:rsidRDefault="00000000" w:rsidRPr="00000000" w14:paraId="00000134">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27. defense-relevant supply chains specifically — https://www.csis.org/analysis/chinas-new-rare-earth-and-magnet-restrictions-threaten-us-defense-supply-chains</w:t>
      </w:r>
      <w:r w:rsidDel="00000000" w:rsidR="00000000" w:rsidRPr="00000000">
        <w:rPr>
          <w:rtl w:val="0"/>
        </w:rPr>
      </w:r>
    </w:p>
    <w:p w:rsidR="00000000" w:rsidDel="00000000" w:rsidP="00000000" w:rsidRDefault="00000000" w:rsidRPr="00000000" w14:paraId="00000135">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28. MERICS's running series on the controls — https://merics.org/en/merics-series-chinas-rare-earths-export-controls</w:t>
      </w:r>
      <w:r w:rsidDel="00000000" w:rsidR="00000000" w:rsidRPr="00000000">
        <w:rPr>
          <w:rtl w:val="0"/>
        </w:rPr>
      </w:r>
    </w:p>
    <w:p w:rsidR="00000000" w:rsidDel="00000000" w:rsidP="00000000" w:rsidRDefault="00000000" w:rsidRPr="00000000" w14:paraId="00000136">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29. one year on October 30, 2025 — https://www.china-briefing.com/news/chinas-rare-earth-export-controls-impacts-on-businesses/</w:t>
      </w:r>
      <w:r w:rsidDel="00000000" w:rsidR="00000000" w:rsidRPr="00000000">
        <w:rPr>
          <w:rtl w:val="0"/>
        </w:rPr>
      </w:r>
    </w:p>
    <w:p w:rsidR="00000000" w:rsidDel="00000000" w:rsidP="00000000" w:rsidRDefault="00000000" w:rsidRPr="00000000" w14:paraId="00000137">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30. cautioned that suspension is not repeal — https://www.fdd.org/analysis/2025/11/12/china-pauses-some-rare-earth-export-curbs-while-retaining-levers-of-control/</w:t>
      </w:r>
      <w:r w:rsidDel="00000000" w:rsidR="00000000" w:rsidRPr="00000000">
        <w:rPr>
          <w:rtl w:val="0"/>
        </w:rPr>
      </w:r>
    </w:p>
    <w:p w:rsidR="00000000" w:rsidDel="00000000" w:rsidP="00000000" w:rsidRDefault="00000000" w:rsidRPr="00000000" w14:paraId="00000138">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31. Beijing likely prefers reversible leverage — https://www.rff.org/publications/issue-briefs/the-strategic-game-of-rare-earths-why-china-may-only-be-in-favor-of-temporary-export-restrictions/</w:t>
      </w:r>
      <w:r w:rsidDel="00000000" w:rsidR="00000000" w:rsidRPr="00000000">
        <w:rPr>
          <w:rtl w:val="0"/>
        </w:rPr>
      </w:r>
    </w:p>
    <w:p w:rsidR="00000000" w:rsidDel="00000000" w:rsidP="00000000" w:rsidRDefault="00000000" w:rsidRPr="00000000" w14:paraId="00000139">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32. a full chokepoint-stacking event — https://www.uscc.gov/sites/default/files/2025-11/Chapter_9--Chained_to_China_Beijings_Weaponization_of_Supply_Chains.pdf</w:t>
      </w:r>
      <w:r w:rsidDel="00000000" w:rsidR="00000000" w:rsidRPr="00000000">
        <w:rPr>
          <w:rtl w:val="0"/>
        </w:rPr>
      </w:r>
    </w:p>
    <w:p w:rsidR="00000000" w:rsidDel="00000000" w:rsidP="00000000" w:rsidRDefault="00000000" w:rsidRPr="00000000" w14:paraId="0000013A">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33. specific AI hardware bottlenecks — https://fpanalytics.foreignpolicy.com/2025/07/18/artificial-intelligence-critical-minerals-supply-chains/</w:t>
      </w:r>
      <w:r w:rsidDel="00000000" w:rsidR="00000000" w:rsidRPr="00000000">
        <w:rPr>
          <w:rtl w:val="0"/>
        </w:rPr>
      </w:r>
    </w:p>
    <w:p w:rsidR="00000000" w:rsidDel="00000000" w:rsidP="00000000" w:rsidRDefault="00000000" w:rsidRPr="00000000" w14:paraId="0000013B">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34. foundational mapping of the chip value chain — https://doi.org/10.51593/20190016</w:t>
      </w:r>
      <w:r w:rsidDel="00000000" w:rsidR="00000000" w:rsidRPr="00000000">
        <w:rPr>
          <w:rtl w:val="0"/>
        </w:rPr>
      </w:r>
    </w:p>
    <w:p w:rsidR="00000000" w:rsidDel="00000000" w:rsidP="00000000" w:rsidRDefault="00000000" w:rsidRPr="00000000" w14:paraId="0000013C">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35. distinct, largely non-substitutable category — https://cset.georgetown.edu/publication/ai-chips-what-they-are-and-why-they-matter/</w:t>
      </w:r>
      <w:r w:rsidDel="00000000" w:rsidR="00000000" w:rsidRPr="00000000">
        <w:rPr>
          <w:rtl w:val="0"/>
        </w:rPr>
      </w:r>
    </w:p>
    <w:p w:rsidR="00000000" w:rsidDel="00000000" w:rsidP="00000000" w:rsidRDefault="00000000" w:rsidRPr="00000000" w14:paraId="0000013D">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36. policy brief on securing semiconductor supply chains — https://cset.georgetown.edu/publication/securing-semiconductor-supply-chains/</w:t>
      </w:r>
      <w:r w:rsidDel="00000000" w:rsidR="00000000" w:rsidRPr="00000000">
        <w:rPr>
          <w:rtl w:val="0"/>
        </w:rPr>
      </w:r>
    </w:p>
    <w:p w:rsidR="00000000" w:rsidDel="00000000" w:rsidP="00000000" w:rsidRDefault="00000000" w:rsidRPr="00000000" w14:paraId="0000013E">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37. Hungarian Institute of International Affairs — https://www.academia.edu/74809503/The_Digital_Silk_Road_understanding_Chinas_technological_rise_and_the_implications_for_global_governance</w:t>
      </w:r>
      <w:r w:rsidDel="00000000" w:rsidR="00000000" w:rsidRPr="00000000">
        <w:rPr>
          <w:rtl w:val="0"/>
        </w:rPr>
      </w:r>
    </w:p>
    <w:p w:rsidR="00000000" w:rsidDel="00000000" w:rsidP="00000000" w:rsidRDefault="00000000" w:rsidRPr="00000000" w14:paraId="0000013F">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38. Social Science Archive Journal — https://assajournal.com/index.php/36/article/view/1052</w:t>
      </w:r>
      <w:r w:rsidDel="00000000" w:rsidR="00000000" w:rsidRPr="00000000">
        <w:rPr>
          <w:rtl w:val="0"/>
        </w:rPr>
      </w:r>
    </w:p>
    <w:p w:rsidR="00000000" w:rsidDel="00000000" w:rsidP="00000000" w:rsidRDefault="00000000" w:rsidRPr="00000000" w14:paraId="00000140">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39. comparable patterns in Africa — https://www.researchgate.net/publication/358468707_China's_Digital_Silk_Road_and_Africa's_Technological_Future</w:t>
      </w:r>
      <w:r w:rsidDel="00000000" w:rsidR="00000000" w:rsidRPr="00000000">
        <w:rPr>
          <w:rtl w:val="0"/>
        </w:rPr>
      </w:r>
    </w:p>
    <w:p w:rsidR="00000000" w:rsidDel="00000000" w:rsidP="00000000" w:rsidRDefault="00000000" w:rsidRPr="00000000" w14:paraId="00000141">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40. case studies in Brazil and South Africa — https://www.researchgate.net/publication/380027784_China's_Digital_Silk_Road_Innovation_in_a_New_Geopolitical_Environment</w:t>
      </w:r>
      <w:r w:rsidDel="00000000" w:rsidR="00000000" w:rsidRPr="00000000">
        <w:rPr>
          <w:rtl w:val="0"/>
        </w:rPr>
      </w:r>
    </w:p>
    <w:p w:rsidR="00000000" w:rsidDel="00000000" w:rsidP="00000000" w:rsidRDefault="00000000" w:rsidRPr="00000000" w14:paraId="00000142">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41. the AAE-1 submarine cable route through Southeast Asia — https://www.cfr.org/sites/default/files/pdf/mochinaga_the-digital-silk-road-and-chinas-technology-influence-in-southeast-asia_june-2021.pdf</w:t>
      </w:r>
      <w:r w:rsidDel="00000000" w:rsidR="00000000" w:rsidRPr="00000000">
        <w:rPr>
          <w:rtl w:val="0"/>
        </w:rPr>
      </w:r>
    </w:p>
    <w:p w:rsidR="00000000" w:rsidDel="00000000" w:rsidP="00000000" w:rsidRDefault="00000000" w:rsidRPr="00000000" w14:paraId="00000143">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42. 14th Five-Year Plan's dual circulation doctrine — https://cset.georgetown.edu/wp-content/uploads/t0284_14th_Five_Year_Plan_EN.pdf</w:t>
      </w:r>
      <w:r w:rsidDel="00000000" w:rsidR="00000000" w:rsidRPr="00000000">
        <w:rPr>
          <w:rtl w:val="0"/>
        </w:rPr>
      </w:r>
    </w:p>
    <w:p w:rsidR="00000000" w:rsidDel="00000000" w:rsidP="00000000" w:rsidRDefault="00000000" w:rsidRPr="00000000" w14:paraId="00000144">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43. ionic clay mining in Kachin State — https://asialink.unimelb.edu.au/diplomacy/insights/myanmar-underbelly-rare-earth-china-dominance/</w:t>
      </w:r>
      <w:r w:rsidDel="00000000" w:rsidR="00000000" w:rsidRPr="00000000">
        <w:rPr>
          <w:rtl w:val="0"/>
        </w:rPr>
      </w:r>
    </w:p>
    <w:p w:rsidR="00000000" w:rsidDel="00000000" w:rsidP="00000000" w:rsidRDefault="00000000" w:rsidRPr="00000000" w14:paraId="00000145">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44. pioneered domestically in southern China — https://doi.org/10.1016/j.resourpol.2016.02.001</w:t>
      </w:r>
      <w:r w:rsidDel="00000000" w:rsidR="00000000" w:rsidRPr="00000000">
        <w:rPr>
          <w:rtl w:val="0"/>
        </w:rPr>
      </w:r>
    </w:p>
    <w:p w:rsidR="00000000" w:rsidDel="00000000" w:rsidP="00000000" w:rsidRDefault="00000000" w:rsidRPr="00000000" w14:paraId="00000146">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45. roughly 57 percent — https://www.nbcboston.com/news/business/money-report/how-a-war-torn-myanmar-plays-a-critical-role-in-chinas-rare-earth-dominance/3749886/</w:t>
      </w:r>
      <w:r w:rsidDel="00000000" w:rsidR="00000000" w:rsidRPr="00000000">
        <w:rPr>
          <w:rtl w:val="0"/>
        </w:rPr>
      </w:r>
    </w:p>
    <w:p w:rsidR="00000000" w:rsidDel="00000000" w:rsidP="00000000" w:rsidRDefault="00000000" w:rsidRPr="00000000" w14:paraId="00000147">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46. extraction footprint from 2010 to 2025 — https://data.usgs.gov/datacatalog/data/USGS:68939e37d4be0248ffcc819f</w:t>
      </w:r>
      <w:r w:rsidDel="00000000" w:rsidR="00000000" w:rsidRPr="00000000">
        <w:rPr>
          <w:rtl w:val="0"/>
        </w:rPr>
      </w:r>
    </w:p>
    <w:p w:rsidR="00000000" w:rsidDel="00000000" w:rsidP="00000000" w:rsidRDefault="00000000" w:rsidRPr="00000000" w14:paraId="00000148">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47. East Asia Forum has argued Myanmar's leverage is overstated — https://eastasiaforum.org/2025/10/04/myanmars-rare-earth-gold-rush-is-fools-gold/</w:t>
      </w:r>
      <w:r w:rsidDel="00000000" w:rsidR="00000000" w:rsidRPr="00000000">
        <w:rPr>
          <w:rtl w:val="0"/>
        </w:rPr>
      </w:r>
    </w:p>
    <w:p w:rsidR="00000000" w:rsidDel="00000000" w:rsidP="00000000" w:rsidRDefault="00000000" w:rsidRPr="00000000" w14:paraId="00000149">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48. An independent CSIS analysis — https://www.csis.org/analysis/last-rounds-status-key-munitions-iran-war-ceasefire</w:t>
      </w:r>
      <w:r w:rsidDel="00000000" w:rsidR="00000000" w:rsidRPr="00000000">
        <w:rPr>
          <w:rtl w:val="0"/>
        </w:rPr>
      </w:r>
    </w:p>
    <w:p w:rsidR="00000000" w:rsidDel="00000000" w:rsidP="00000000" w:rsidRDefault="00000000" w:rsidRPr="00000000" w14:paraId="0000014A">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49. May 2026 warning — https://time.com/article/2026/05/12/US-ammunition-shortage-iran-war/</w:t>
      </w:r>
      <w:r w:rsidDel="00000000" w:rsidR="00000000" w:rsidRPr="00000000">
        <w:rPr>
          <w:rtl w:val="0"/>
        </w:rPr>
      </w:r>
    </w:p>
    <w:p w:rsidR="00000000" w:rsidDel="00000000" w:rsidP="00000000" w:rsidRDefault="00000000" w:rsidRPr="00000000" w14:paraId="0000014B">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50. The Department of Energy's own 2023 critical materials assessment — https://www.energy.gov/sites/default/files/2023-07/doe-critical-material-assessment_07312023.pdf</w:t>
      </w:r>
      <w:r w:rsidDel="00000000" w:rsidR="00000000" w:rsidRPr="00000000">
        <w:rPr>
          <w:rtl w:val="0"/>
        </w:rPr>
      </w:r>
    </w:p>
    <w:p w:rsidR="00000000" w:rsidDel="00000000" w:rsidP="00000000" w:rsidRDefault="00000000" w:rsidRPr="00000000" w14:paraId="0000014C">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51. via Federal Register notice — https://www.federalregister.gov/documents/2023/08/04/2023-16611/notice-of-final-determination-on-2023-doe-critical-materials-list</w:t>
      </w:r>
      <w:r w:rsidDel="00000000" w:rsidR="00000000" w:rsidRPr="00000000">
        <w:rPr>
          <w:rtl w:val="0"/>
        </w:rPr>
      </w:r>
    </w:p>
    <w:p w:rsidR="00000000" w:rsidDel="00000000" w:rsidP="00000000" w:rsidRDefault="00000000" w:rsidRPr="00000000" w14:paraId="0000014D">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52. \$400 million equity stake — https://mpmaterials.com/news/mp-materials-announces-transformational-public-private-partnership-with-the-department-of-defense-to-accelerate-u-s-rare-earth-magnet-independence/</w:t>
      </w:r>
      <w:r w:rsidDel="00000000" w:rsidR="00000000" w:rsidRPr="00000000">
        <w:rPr>
          <w:rtl w:val="0"/>
        </w:rPr>
      </w:r>
    </w:p>
    <w:p w:rsidR="00000000" w:rsidDel="00000000" w:rsidP="00000000" w:rsidRDefault="00000000" w:rsidRPr="00000000" w14:paraId="0000014E">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53. SEC filing — https://www.sec.gov/Archives/edgar/data/1801368/000119312525160635/d923027d424b5.htm</w:t>
      </w:r>
      <w:r w:rsidDel="00000000" w:rsidR="00000000" w:rsidRPr="00000000">
        <w:rPr>
          <w:rtl w:val="0"/>
        </w:rPr>
      </w:r>
    </w:p>
    <w:p w:rsidR="00000000" w:rsidDel="00000000" w:rsidP="00000000" w:rsidRDefault="00000000" w:rsidRPr="00000000" w14:paraId="0000014F">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54. \$150 million DoD loan — https://bosd1.sbcounty.gov/2025/08/14/dod-issues-150-million-loan-to-mp-materials-for-rare-earth-processing-upgrades/</w:t>
      </w:r>
      <w:r w:rsidDel="00000000" w:rsidR="00000000" w:rsidRPr="00000000">
        <w:rPr>
          <w:rtl w:val="0"/>
        </w:rPr>
      </w:r>
    </w:p>
    <w:p w:rsidR="00000000" w:rsidDel="00000000" w:rsidP="00000000" w:rsidRDefault="00000000" w:rsidRPr="00000000" w14:paraId="00000150">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55. Payne Institute — https://payneinstitute.mines.edu/explainer-on-the-mp-materials-department-of-defense-partnership/</w:t>
      </w:r>
      <w:r w:rsidDel="00000000" w:rsidR="00000000" w:rsidRPr="00000000">
        <w:rPr>
          <w:rtl w:val="0"/>
        </w:rPr>
      </w:r>
    </w:p>
    <w:p w:rsidR="00000000" w:rsidDel="00000000" w:rsidP="00000000" w:rsidRDefault="00000000" w:rsidRPr="00000000" w14:paraId="00000151">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56. a precedent for federal industrial policy — https://bipartisanpolicy.org/article/dod-bets-big-on-rare-earth-elements/</w:t>
      </w:r>
      <w:r w:rsidDel="00000000" w:rsidR="00000000" w:rsidRPr="00000000">
        <w:rPr>
          <w:rtl w:val="0"/>
        </w:rPr>
      </w:r>
    </w:p>
    <w:p w:rsidR="00000000" w:rsidDel="00000000" w:rsidP="00000000" w:rsidRDefault="00000000" w:rsidRPr="00000000" w14:paraId="00000152">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57. dozens of Chinese firms — https://www.federalregister.gov/documents/2024/05/14/2024-10485/additions-of-entities-to-the-entity-list</w:t>
      </w:r>
      <w:r w:rsidDel="00000000" w:rsidR="00000000" w:rsidRPr="00000000">
        <w:rPr>
          <w:rtl w:val="0"/>
        </w:rPr>
      </w:r>
    </w:p>
    <w:p w:rsidR="00000000" w:rsidDel="00000000" w:rsidP="00000000" w:rsidRDefault="00000000" w:rsidRPr="00000000" w14:paraId="00000153">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58. a further round — https://www.federalregister.gov/documents/2024/12/11/2024-29136/additions-to-the-entity-list</w:t>
      </w:r>
      <w:r w:rsidDel="00000000" w:rsidR="00000000" w:rsidRPr="00000000">
        <w:rPr>
          <w:rtl w:val="0"/>
        </w:rPr>
      </w:r>
    </w:p>
    <w:p w:rsidR="00000000" w:rsidDel="00000000" w:rsidP="00000000" w:rsidRDefault="00000000" w:rsidRPr="00000000" w14:paraId="00000154">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59. another expansion in September 2025 — https://www.federalregister.gov/documents/2025/09/16/2025-17893/additions-and-revisions-to-the-entity-list</w:t>
      </w:r>
      <w:r w:rsidDel="00000000" w:rsidR="00000000" w:rsidRPr="00000000">
        <w:rPr>
          <w:rtl w:val="0"/>
        </w:rPr>
      </w:r>
    </w:p>
    <w:p w:rsidR="00000000" w:rsidDel="00000000" w:rsidP="00000000" w:rsidRDefault="00000000" w:rsidRPr="00000000" w14:paraId="00000155">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60. fully implemented statutory requirements — https://www.gao.gov/assets/gao-24-107176.pdf</w:t>
      </w:r>
      <w:r w:rsidDel="00000000" w:rsidR="00000000" w:rsidRPr="00000000">
        <w:rPr>
          <w:rtl w:val="0"/>
        </w:rPr>
      </w:r>
    </w:p>
    <w:p w:rsidR="00000000" w:rsidDel="00000000" w:rsidP="00000000" w:rsidRDefault="00000000" w:rsidRPr="00000000" w14:paraId="00000156">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61. earlier 2022 review — https://www.gao.gov/products/gao-22-104824</w:t>
      </w:r>
      <w:r w:rsidDel="00000000" w:rsidR="00000000" w:rsidRPr="00000000">
        <w:rPr>
          <w:rtl w:val="0"/>
        </w:rPr>
      </w:r>
    </w:p>
    <w:p w:rsidR="00000000" w:rsidDel="00000000" w:rsidP="00000000" w:rsidRDefault="00000000" w:rsidRPr="00000000" w14:paraId="00000157">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62. 2024 assessment — https://www.gao.gov/blog/critical-materials-are-high-demand.-what-dod-doing-secure-supply-chain-and-stockpile-these-resources</w:t>
      </w:r>
      <w:r w:rsidDel="00000000" w:rsidR="00000000" w:rsidRPr="00000000">
        <w:rPr>
          <w:rtl w:val="0"/>
        </w:rPr>
      </w:r>
    </w:p>
    <w:p w:rsidR="00000000" w:rsidDel="00000000" w:rsidP="00000000" w:rsidRDefault="00000000" w:rsidRPr="00000000" w14:paraId="00000158">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63. separate review of defense industrial base risk — https://files.gao.gov/reports/GAO-25-107283/index.html</w:t>
      </w:r>
      <w:r w:rsidDel="00000000" w:rsidR="00000000" w:rsidRPr="00000000">
        <w:rPr>
          <w:rtl w:val="0"/>
        </w:rPr>
      </w:r>
    </w:p>
    <w:p w:rsidR="00000000" w:rsidDel="00000000" w:rsidP="00000000" w:rsidRDefault="00000000" w:rsidRPr="00000000" w14:paraId="00000159">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64. Critical Raw Materials Act — https://eur-lex.europa.eu/eli/reg/2024/1252/oj/eng</w:t>
      </w:r>
      <w:r w:rsidDel="00000000" w:rsidR="00000000" w:rsidRPr="00000000">
        <w:rPr>
          <w:rtl w:val="0"/>
        </w:rPr>
      </w:r>
    </w:p>
    <w:p w:rsidR="00000000" w:rsidDel="00000000" w:rsidP="00000000" w:rsidRDefault="00000000" w:rsidRPr="00000000" w14:paraId="0000015A">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65. 10 percent domestic extraction]{.underline} [and]{.underline} [40 percent processing — https://commission.europa.eu/topics/competitiveness/green-deal-industrial-plan/european-critical-raw-materials-act_en</w:t>
      </w:r>
      <w:r w:rsidDel="00000000" w:rsidR="00000000" w:rsidRPr="00000000">
        <w:rPr>
          <w:rtl w:val="0"/>
        </w:rPr>
      </w:r>
    </w:p>
    <w:p w:rsidR="00000000" w:rsidDel="00000000" w:rsidP="00000000" w:rsidRDefault="00000000" w:rsidRPr="00000000" w14:paraId="0000015B">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66. Council of the EU's own tracking — https://www.consilium.europa.eu/en/infographics/critical-raw-materials/</w:t>
      </w:r>
      <w:r w:rsidDel="00000000" w:rsidR="00000000" w:rsidRPr="00000000">
        <w:rPr>
          <w:rtl w:val="0"/>
        </w:rPr>
      </w:r>
    </w:p>
    <w:p w:rsidR="00000000" w:rsidDel="00000000" w:rsidP="00000000" w:rsidRDefault="00000000" w:rsidRPr="00000000" w14:paraId="0000015C">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67. permitting timelines still lag China's pace — https://www.jonesday.com/en/insights/2026/05/the-eu-critical-raw-materials-act-and-its-impact-on-the-mining-sector-strategic-opportunities-for-industry-stakeholders</w:t>
      </w:r>
      <w:r w:rsidDel="00000000" w:rsidR="00000000" w:rsidRPr="00000000">
        <w:rPr>
          <w:rtl w:val="0"/>
        </w:rPr>
      </w:r>
    </w:p>
    <w:p w:rsidR="00000000" w:rsidDel="00000000" w:rsidP="00000000" w:rsidRDefault="00000000" w:rsidRPr="00000000" w14:paraId="0000015D">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68. the most ambitious framework of its kind — https://unece.org/media/news/391440</w:t>
      </w:r>
      <w:r w:rsidDel="00000000" w:rsidR="00000000" w:rsidRPr="00000000">
        <w:rPr>
          <w:rtl w:val="0"/>
        </w:rPr>
      </w:r>
    </w:p>
    <w:p w:rsidR="00000000" w:rsidDel="00000000" w:rsidP="00000000" w:rsidRDefault="00000000" w:rsidRPr="00000000" w14:paraId="0000015E">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69. CSIS's own retrospective — https://www.csis.org/analysis/rare-earth-export-restrictions-one-year-later</w:t>
      </w:r>
      <w:r w:rsidDel="00000000" w:rsidR="00000000" w:rsidRPr="00000000">
        <w:rPr>
          <w:rtl w:val="0"/>
        </w:rPr>
      </w:r>
    </w:p>
    <w:p w:rsidR="00000000" w:rsidDel="00000000" w:rsidP="00000000" w:rsidRDefault="00000000" w:rsidRPr="00000000" w14:paraId="0000015F">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70. construct minerals as security issues — https://onlinelibrary.wiley.com/doi/10.1111/polp.70135</w:t>
      </w:r>
      <w:r w:rsidDel="00000000" w:rsidR="00000000" w:rsidRPr="00000000">
        <w:rPr>
          <w:rtl w:val="0"/>
        </w:rPr>
      </w:r>
    </w:p>
    <w:p w:rsidR="00000000" w:rsidDel="00000000" w:rsidP="00000000" w:rsidRDefault="00000000" w:rsidRPr="00000000" w14:paraId="00000160">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71. CNAS studies — https://www.cnas.org/press/press-release/cnas-releases-report-on-critical-minerals-and-rare-earths</w:t>
      </w:r>
      <w:r w:rsidDel="00000000" w:rsidR="00000000" w:rsidRPr="00000000">
        <w:rPr>
          <w:rtl w:val="0"/>
        </w:rPr>
      </w:r>
    </w:p>
    <w:p w:rsidR="00000000" w:rsidDel="00000000" w:rsidP="00000000" w:rsidRDefault="00000000" w:rsidRPr="00000000" w14:paraId="00000161">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72. one on the broader resource race — https://www.cnas.org/publications/commentary/the-new-race-for-energy-resources</w:t>
      </w:r>
      <w:r w:rsidDel="00000000" w:rsidR="00000000" w:rsidRPr="00000000">
        <w:rPr>
          <w:rtl w:val="0"/>
        </w:rPr>
      </w:r>
    </w:p>
    <w:p w:rsidR="00000000" w:rsidDel="00000000" w:rsidP="00000000" w:rsidRDefault="00000000" w:rsidRPr="00000000" w14:paraId="00000162">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73. The Council on Foreign Relations' economic security task force — https://www.cfr.org/task-force-report/us-economic-security</w:t>
      </w:r>
      <w:r w:rsidDel="00000000" w:rsidR="00000000" w:rsidRPr="00000000">
        <w:rPr>
          <w:rtl w:val="0"/>
        </w:rPr>
      </w:r>
    </w:p>
    <w:p w:rsidR="00000000" w:rsidDel="00000000" w:rsidP="00000000" w:rsidRDefault="00000000" w:rsidRPr="00000000" w14:paraId="00000163">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74. U.S.-China Economic and Security Review Commission — https://www.uscc.gov/sites/default/files/2025-11/Chapter_9--Chained_to_China_Beijings_Weaponization_of_Supply_Chains.pdf</w:t>
      </w:r>
      <w:r w:rsidDel="00000000" w:rsidR="00000000" w:rsidRPr="00000000">
        <w:rPr>
          <w:rtl w:val="0"/>
        </w:rPr>
      </w:r>
    </w:p>
    <w:p w:rsidR="00000000" w:rsidDel="00000000" w:rsidP="00000000" w:rsidRDefault="00000000" w:rsidRPr="00000000" w14:paraId="00000164">
      <w:pPr>
        <w:pStyle w:val="Heading2"/>
        <w:rPr/>
      </w:pPr>
      <w:r w:rsidDel="00000000" w:rsidR="00000000" w:rsidRPr="00000000">
        <w:rPr>
          <w:rFonts w:ascii="Times New Roman" w:cs="Times New Roman" w:eastAsia="Times New Roman" w:hAnsi="Times New Roman"/>
          <w:b w:val="1"/>
          <w:bCs w:val="1"/>
          <w:i w:val="0"/>
          <w:iCs w:val="0"/>
          <w:sz w:val="24"/>
          <w:szCs w:val="24"/>
          <w:rtl w:val="0"/>
        </w:rPr>
        <w:t xml:space="preserve">Notes — </w:t>
      </w:r>
      <w:r w:rsidDel="00000000" w:rsidR="00000000" w:rsidRPr="00000000">
        <w:rPr>
          <w:b w:val="1"/>
          <w:bCs w:val="1"/>
          <w:sz w:val="24"/>
          <w:szCs w:val="24"/>
          <w:rtl w:val="0"/>
        </w:rPr>
        <w:t xml:space="preserve">Black Sands: Egypt’s Vanishing Radioactive Minerals</w:t>
      </w:r>
      <w:r w:rsidDel="00000000" w:rsidR="00000000" w:rsidRPr="00000000">
        <w:rPr>
          <w:b w:val="1"/>
          <w:bCs w:val="1"/>
          <w:sz w:val="30"/>
          <w:szCs w:val="30"/>
          <w:rtl w:val="0"/>
        </w:rPr>
        <w:t xml:space="preserve"> </w:t>
      </w:r>
      <w:r w:rsidDel="00000000" w:rsidR="00000000" w:rsidRPr="00000000">
        <w:rPr>
          <w:rtl w:val="0"/>
        </w:rPr>
      </w:r>
    </w:p>
    <w:p w:rsidR="00000000" w:rsidDel="00000000" w:rsidP="00000000" w:rsidRDefault="00000000" w:rsidRPr="00000000" w14:paraId="00000165">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1. "Egypt Slashes Exploration Rents and Red Tape to Attract Foreign Investment in Mining," Enterprise MENA+, 4 May 2026; "Egypt Mining Law Amendments: What Investors Must Know in 2026," Discovery Alert, 1 May 2026.</w:t>
      </w:r>
      <w:r w:rsidDel="00000000" w:rsidR="00000000" w:rsidRPr="00000000">
        <w:rPr>
          <w:rtl w:val="0"/>
        </w:rPr>
      </w:r>
    </w:p>
    <w:p w:rsidR="00000000" w:rsidDel="00000000" w:rsidP="00000000" w:rsidRDefault="00000000" w:rsidRPr="00000000" w14:paraId="00000166">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2. "Egypt Overhauls Mining Regulatory Framework," ICLG, 1 May 2026.</w:t>
      </w:r>
      <w:r w:rsidDel="00000000" w:rsidR="00000000" w:rsidRPr="00000000">
        <w:rPr>
          <w:rtl w:val="0"/>
        </w:rPr>
      </w:r>
    </w:p>
    <w:p w:rsidR="00000000" w:rsidDel="00000000" w:rsidP="00000000" w:rsidRDefault="00000000" w:rsidRPr="00000000" w14:paraId="00000167">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3. "EMRA Inks Agreements for Phosphate Industry Expansion with Genesis Mining," Ahram Online, July 2026.</w:t>
      </w:r>
      <w:r w:rsidDel="00000000" w:rsidR="00000000" w:rsidRPr="00000000">
        <w:rPr>
          <w:rtl w:val="0"/>
        </w:rPr>
      </w:r>
    </w:p>
    <w:p w:rsidR="00000000" w:rsidDel="00000000" w:rsidP="00000000" w:rsidRDefault="00000000" w:rsidRPr="00000000" w14:paraId="00000168">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4. "Egypt Signs Strategic Agreements to Attract Global Investment in Gold and Mineral Exploration," Daily News Egypt, 16 July 2025, distributed via Zawya.</w:t>
      </w:r>
      <w:r w:rsidDel="00000000" w:rsidR="00000000" w:rsidRPr="00000000">
        <w:rPr>
          <w:rtl w:val="0"/>
        </w:rPr>
      </w:r>
    </w:p>
    <w:p w:rsidR="00000000" w:rsidDel="00000000" w:rsidP="00000000" w:rsidRDefault="00000000" w:rsidRPr="00000000" w14:paraId="00000169">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5. "EMRA Inks Agreements for Phosphate Industry Expansion with Genesis Mining," Ahram Online, July 2026. Egypt holds the world's third largest phosphate rock reserves, with geological reserves estimated at 3.1 billion tonnes.</w:t>
      </w:r>
      <w:r w:rsidDel="00000000" w:rsidR="00000000" w:rsidRPr="00000000">
        <w:rPr>
          <w:rtl w:val="0"/>
        </w:rPr>
      </w:r>
    </w:p>
    <w:p w:rsidR="00000000" w:rsidDel="00000000" w:rsidP="00000000" w:rsidRDefault="00000000" w:rsidRPr="00000000" w14:paraId="0000016A">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6. "Egypt Rare Earth: Key Deposits and China Strategy," Rare Earth Mining, 22 June 2026; Ministry of Petroleum and Mineral Resources agreement covering phosphate, quartz and silica sand in the Golden Triangle.</w:t>
      </w:r>
      <w:r w:rsidDel="00000000" w:rsidR="00000000" w:rsidRPr="00000000">
        <w:rPr>
          <w:rtl w:val="0"/>
        </w:rPr>
      </w:r>
    </w:p>
    <w:p w:rsidR="00000000" w:rsidDel="00000000" w:rsidP="00000000" w:rsidRDefault="00000000" w:rsidRPr="00000000" w14:paraId="0000016B">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7. "Inauguration of Plant Complex of the Egyptian Black Sand Company in Borolos," Presidency of the Arab Republic of Egypt; "Black Sand Factory in Kafr El-Sheikh," Egyptian State Information Service.</w:t>
      </w:r>
      <w:r w:rsidDel="00000000" w:rsidR="00000000" w:rsidRPr="00000000">
        <w:rPr>
          <w:rtl w:val="0"/>
        </w:rPr>
      </w:r>
    </w:p>
    <w:p w:rsidR="00000000" w:rsidDel="00000000" w:rsidP="00000000" w:rsidRDefault="00000000" w:rsidRPr="00000000" w14:paraId="0000016C">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8. "Uranium Exploration in Egypt: Past, Current and Future Activities," IAEA International Nuclear Information System.</w:t>
      </w:r>
      <w:r w:rsidDel="00000000" w:rsidR="00000000" w:rsidRPr="00000000">
        <w:rPr>
          <w:rtl w:val="0"/>
        </w:rPr>
      </w:r>
    </w:p>
    <w:p w:rsidR="00000000" w:rsidDel="00000000" w:rsidP="00000000" w:rsidRDefault="00000000" w:rsidRPr="00000000" w14:paraId="0000016D">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9. "Egyptian Black Sands Contract," Downer Group, 31 May 2018.</w:t>
      </w:r>
      <w:r w:rsidDel="00000000" w:rsidR="00000000" w:rsidRPr="00000000">
        <w:rPr>
          <w:rtl w:val="0"/>
        </w:rPr>
      </w:r>
    </w:p>
    <w:p w:rsidR="00000000" w:rsidDel="00000000" w:rsidP="00000000" w:rsidRDefault="00000000" w:rsidRPr="00000000" w14:paraId="0000016E">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10. United States Bureau of Mines, Minerals Yearbook 1964, volume on area reports, world review, United Arab Republic (Egypt) entry, p. 1092.</w:t>
      </w:r>
      <w:r w:rsidDel="00000000" w:rsidR="00000000" w:rsidRPr="00000000">
        <w:rPr>
          <w:rtl w:val="0"/>
        </w:rPr>
      </w:r>
    </w:p>
    <w:p w:rsidR="00000000" w:rsidDel="00000000" w:rsidP="00000000" w:rsidRDefault="00000000" w:rsidRPr="00000000" w14:paraId="0000016F">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11. "Profiling the Egyptian Black Sand Company's Burullus Plant," Enterprise, 23 October 2022; "Black Sand in Egypt: Economic Importance and Enhancement Efforts," Draya Center for Strategic Studies, 23 March 2024. The two accounts agree on the military and Nuclear Materials Authority holdings and differ on the distribution of the minority stakes.</w:t>
      </w:r>
      <w:r w:rsidDel="00000000" w:rsidR="00000000" w:rsidRPr="00000000">
        <w:rPr>
          <w:rtl w:val="0"/>
        </w:rPr>
      </w:r>
    </w:p>
    <w:p w:rsidR="00000000" w:rsidDel="00000000" w:rsidP="00000000" w:rsidRDefault="00000000" w:rsidRPr="00000000" w14:paraId="00000170">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12. Enterprise, 23 October 2022; "Black Sand to Yield Mineral Wealth," Egyptian Gazette, 27 November 2022; "Hassan Allam to Build Egypt and MENA's First Black Sand Minerals Concentration and Separation Plants," Zawya, 25 June 2020.</w:t>
      </w:r>
      <w:r w:rsidDel="00000000" w:rsidR="00000000" w:rsidRPr="00000000">
        <w:rPr>
          <w:rtl w:val="0"/>
        </w:rPr>
      </w:r>
    </w:p>
    <w:p w:rsidR="00000000" w:rsidDel="00000000" w:rsidP="00000000" w:rsidRDefault="00000000" w:rsidRPr="00000000" w14:paraId="00000171">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13. Presidency of the Arab Republic of Egypt, Burullus complex project documentation.</w:t>
      </w:r>
      <w:r w:rsidDel="00000000" w:rsidR="00000000" w:rsidRPr="00000000">
        <w:rPr>
          <w:rtl w:val="0"/>
        </w:rPr>
      </w:r>
    </w:p>
    <w:p w:rsidR="00000000" w:rsidDel="00000000" w:rsidP="00000000" w:rsidRDefault="00000000" w:rsidRPr="00000000" w14:paraId="00000172">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14. Presidency of the Arab Republic of Egypt; Magdy al-Tawil, chairman, Egyptian Black Sand Company, to the Middle East News Agency, reported in Enterprise, 23 October 2022.</w:t>
      </w:r>
      <w:r w:rsidDel="00000000" w:rsidR="00000000" w:rsidRPr="00000000">
        <w:rPr>
          <w:rtl w:val="0"/>
        </w:rPr>
      </w:r>
    </w:p>
    <w:p w:rsidR="00000000" w:rsidDel="00000000" w:rsidP="00000000" w:rsidRDefault="00000000" w:rsidRPr="00000000" w14:paraId="00000173">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15. "Egypt Rare Earth: Key Deposits and China Strategy," Rare Earth Mining, 22 June 2026.</w:t>
      </w:r>
      <w:r w:rsidDel="00000000" w:rsidR="00000000" w:rsidRPr="00000000">
        <w:rPr>
          <w:rtl w:val="0"/>
        </w:rPr>
      </w:r>
    </w:p>
    <w:p w:rsidR="00000000" w:rsidDel="00000000" w:rsidP="00000000" w:rsidRDefault="00000000" w:rsidRPr="00000000" w14:paraId="00000174">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16. "From Shore to Fortune: The Economic Potential of Black Sand," Egypt Oil and Gas, 27 July 2025.</w:t>
      </w:r>
      <w:r w:rsidDel="00000000" w:rsidR="00000000" w:rsidRPr="00000000">
        <w:rPr>
          <w:rtl w:val="0"/>
        </w:rPr>
      </w:r>
    </w:p>
    <w:p w:rsidR="00000000" w:rsidDel="00000000" w:rsidP="00000000" w:rsidRDefault="00000000" w:rsidRPr="00000000" w14:paraId="00000175">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17. "Egypt Rare Earth: Key Deposits and China Strategy," Rare Earth Mining, 22 June 2026.</w:t>
      </w:r>
      <w:r w:rsidDel="00000000" w:rsidR="00000000" w:rsidRPr="00000000">
        <w:rPr>
          <w:rtl w:val="0"/>
        </w:rPr>
      </w:r>
    </w:p>
    <w:p w:rsidR="00000000" w:rsidDel="00000000" w:rsidP="00000000" w:rsidRDefault="00000000" w:rsidRPr="00000000" w14:paraId="00000176">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18. Law No. 8 of 2019, described in "From Shore to Fortune: The Economic Potential of Black Sand," Egypt Oil and Gas, 27 July 2025, and in "Black Sand in Egypt: Economic Importance and Enhancement Efforts," Draya Center for Strategic Studies, 23 March 2024.</w:t>
      </w:r>
      <w:r w:rsidDel="00000000" w:rsidR="00000000" w:rsidRPr="00000000">
        <w:rPr>
          <w:rtl w:val="0"/>
        </w:rPr>
      </w:r>
    </w:p>
    <w:p w:rsidR="00000000" w:rsidDel="00000000" w:rsidP="00000000" w:rsidRDefault="00000000" w:rsidRPr="00000000" w14:paraId="00000177">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19. "Egypt Overhauls Mining Regulatory Framework," ICLG, 1 May 2026; "Egypt Mining Regulations Amendments," Discovery Alert, 4 May 2026.</w:t>
      </w:r>
      <w:r w:rsidDel="00000000" w:rsidR="00000000" w:rsidRPr="00000000">
        <w:rPr>
          <w:rtl w:val="0"/>
        </w:rPr>
      </w:r>
    </w:p>
    <w:p w:rsidR="00000000" w:rsidDel="00000000" w:rsidP="00000000" w:rsidRDefault="00000000" w:rsidRPr="00000000" w14:paraId="00000178">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20. "10 Years On, Suez Flagship Project Becomes Model for Global South Partnership," People's Daily Online, 24 January 2026.</w:t>
      </w:r>
      <w:r w:rsidDel="00000000" w:rsidR="00000000" w:rsidRPr="00000000">
        <w:rPr>
          <w:rtl w:val="0"/>
        </w:rPr>
      </w:r>
    </w:p>
    <w:p w:rsidR="00000000" w:rsidDel="00000000" w:rsidP="00000000" w:rsidRDefault="00000000" w:rsidRPr="00000000" w14:paraId="00000179">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21. "TEDA Egypt Inks $1.15 bln Deals with Chinese Firms for Three Industrial Complexes in SCZone," Ahram Online, 24 December 2025; "Egypt, China Agree $1.15bn of New Industrial Projects in SCZONE," Arab News, 24 December 2025; "Three Chinese Firms to Invest $1.15bn in Egypt's Sokhna Industrial Zone," Daily News Egypt, 23 December 2025.</w:t>
      </w:r>
      <w:r w:rsidDel="00000000" w:rsidR="00000000" w:rsidRPr="00000000">
        <w:rPr>
          <w:rtl w:val="0"/>
        </w:rPr>
      </w:r>
    </w:p>
    <w:p w:rsidR="00000000" w:rsidDel="00000000" w:rsidP="00000000" w:rsidRDefault="00000000" w:rsidRPr="00000000" w14:paraId="0000017A">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22. "China's Zenith Group to Invest USD 300 mn in SCZone Tire-Component Plant," Enterprise, 5 July 2026.</w:t>
      </w:r>
      <w:r w:rsidDel="00000000" w:rsidR="00000000" w:rsidRPr="00000000">
        <w:rPr>
          <w:rtl w:val="0"/>
        </w:rPr>
      </w:r>
    </w:p>
    <w:p w:rsidR="00000000" w:rsidDel="00000000" w:rsidP="00000000" w:rsidRDefault="00000000" w:rsidRPr="00000000" w14:paraId="0000017B">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23. "ADQ-Led Consortium to Invest USD 35 Billion in Egypt," ADQ newsroom, 23 February 2024; "Abu Dhabi's ADQ to Invest $35bn in Egypt," The National, 23 February 2024.</w:t>
      </w:r>
      <w:r w:rsidDel="00000000" w:rsidR="00000000" w:rsidRPr="00000000">
        <w:rPr>
          <w:rtl w:val="0"/>
        </w:rPr>
      </w:r>
    </w:p>
    <w:p w:rsidR="00000000" w:rsidDel="00000000" w:rsidP="00000000" w:rsidRDefault="00000000" w:rsidRPr="00000000" w14:paraId="0000017C">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24. "Gulf Cooperation Council Sovereign Wealth Funds at the Forefront of a Strategic Global Expansion," Deloitte Global, 10 November 2025; Enterprise, 5 July 2026.</w:t>
      </w:r>
      <w:r w:rsidDel="00000000" w:rsidR="00000000" w:rsidRPr="00000000">
        <w:rPr>
          <w:rtl w:val="0"/>
        </w:rPr>
      </w:r>
    </w:p>
    <w:p w:rsidR="00000000" w:rsidDel="00000000" w:rsidP="00000000" w:rsidRDefault="00000000" w:rsidRPr="00000000" w14:paraId="0000017D">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25. "Egypt Rare Earth: Key Deposits and China Strategy," Rare Earth Mining, 22 June 2026.</w:t>
      </w:r>
      <w:r w:rsidDel="00000000" w:rsidR="00000000" w:rsidRPr="00000000">
        <w:rPr>
          <w:rtl w:val="0"/>
        </w:rPr>
      </w:r>
    </w:p>
    <w:p w:rsidR="00000000" w:rsidDel="00000000" w:rsidP="00000000" w:rsidRDefault="00000000" w:rsidRPr="00000000" w14:paraId="0000017E">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26. Federico Donelli, Power Competition in the Red Sea: Testing the Post-Liberal International Order (London and New York: Bloomsbury Academic, 2025); reviewed in Middle East Policy 33 (2026): 371--73. See also Donelli, "Global Power Shifts Are Playing Out in the Red Sea Region: Why This Is Where the Rules Are Changing," The Conversation, 17 June 2026.</w:t>
      </w:r>
      <w:r w:rsidDel="00000000" w:rsidR="00000000" w:rsidRPr="00000000">
        <w:rPr>
          <w:rtl w:val="0"/>
        </w:rPr>
      </w:r>
    </w:p>
    <w:p w:rsidR="00000000" w:rsidDel="00000000" w:rsidP="00000000" w:rsidRDefault="00000000" w:rsidRPr="00000000" w14:paraId="0000017F">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27. Brendon J. Cannon and Federico Donelli, "Asymmetric Alliances and High Polarity: Evaluating Regional Security Complexes in the Middle East and Horn of Africa," Third World Quarterly 41, no. 3 (2020): 505--24; Federico Donelli and Brendon J. Cannon, "Power Projection of Middle East States in the Horn of Africa: Linking Security Burdens with Capabilities," Small Wars and Insurgencies (2021).</w:t>
      </w:r>
      <w:r w:rsidDel="00000000" w:rsidR="00000000" w:rsidRPr="00000000">
        <w:rPr>
          <w:rtl w:val="0"/>
        </w:rPr>
      </w:r>
    </w:p>
    <w:p w:rsidR="00000000" w:rsidDel="00000000" w:rsidP="00000000" w:rsidRDefault="00000000" w:rsidRPr="00000000" w14:paraId="00000180">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28. "Diverging Paths: Gulf Critical Mineral Strategies," Arab Gulf States Institute in Washington, 5 December 2025.</w:t>
      </w:r>
      <w:r w:rsidDel="00000000" w:rsidR="00000000" w:rsidRPr="00000000">
        <w:rPr>
          <w:rtl w:val="0"/>
        </w:rPr>
      </w:r>
    </w:p>
    <w:p w:rsidR="00000000" w:rsidDel="00000000" w:rsidP="00000000" w:rsidRDefault="00000000" w:rsidRPr="00000000" w14:paraId="00000181">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29. International Energy Agency, "With New Export Controls on Critical Minerals, Supply Concentration Risks Become Reality," 23 October 2025.</w:t>
      </w:r>
      <w:r w:rsidDel="00000000" w:rsidR="00000000" w:rsidRPr="00000000">
        <w:rPr>
          <w:rtl w:val="0"/>
        </w:rPr>
      </w:r>
    </w:p>
    <w:p w:rsidR="00000000" w:rsidDel="00000000" w:rsidP="00000000" w:rsidRDefault="00000000" w:rsidRPr="00000000" w14:paraId="00000182">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30. "Egypt Rare Earth: Key Deposits and China Strategy," Rare Earth Mining, 22 June 2026, summarising peer-reviewed analysis of Abu Tartour ore.</w:t>
      </w:r>
      <w:r w:rsidDel="00000000" w:rsidR="00000000" w:rsidRPr="00000000">
        <w:rPr>
          <w:rtl w:val="0"/>
        </w:rPr>
      </w:r>
    </w:p>
    <w:p w:rsidR="00000000" w:rsidDel="00000000" w:rsidP="00000000" w:rsidRDefault="00000000" w:rsidRPr="00000000" w14:paraId="00000183">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31. Rare Earth Mining, 22 June 2026, reporting the memorandum of understanding between the Mineral Resources and Mining Industries Authority and MovingFert, 2026, and the Abu Tartour for Phosphoric Acid Company complex, construction from early 2026 with commercial operations targeted for 2028.</w:t>
      </w:r>
      <w:r w:rsidDel="00000000" w:rsidR="00000000" w:rsidRPr="00000000">
        <w:rPr>
          <w:rtl w:val="0"/>
        </w:rPr>
      </w:r>
    </w:p>
    <w:p w:rsidR="00000000" w:rsidDel="00000000" w:rsidP="00000000" w:rsidRDefault="00000000" w:rsidRPr="00000000" w14:paraId="00000184">
      <w:pPr>
        <w:pStyle w:val="Heading2"/>
        <w:rPr/>
      </w:pPr>
      <w:r w:rsidDel="00000000" w:rsidR="00000000" w:rsidRPr="00000000">
        <w:rPr>
          <w:rFonts w:ascii="Times New Roman" w:cs="Times New Roman" w:eastAsia="Times New Roman" w:hAnsi="Times New Roman"/>
          <w:b w:val="1"/>
          <w:bCs w:val="1"/>
          <w:i w:val="0"/>
          <w:iCs w:val="0"/>
          <w:sz w:val="24"/>
          <w:szCs w:val="24"/>
          <w:rtl w:val="0"/>
        </w:rPr>
        <w:t xml:space="preserve">Notes — Norway's Seabed Reversal and the Supply Gap Nobody Is Counting</w:t>
      </w:r>
      <w:r w:rsidDel="00000000" w:rsidR="00000000" w:rsidRPr="00000000">
        <w:rPr>
          <w:rtl w:val="0"/>
        </w:rPr>
      </w:r>
    </w:p>
    <w:p w:rsidR="00000000" w:rsidDel="00000000" w:rsidP="00000000" w:rsidRDefault="00000000" w:rsidRPr="00000000" w14:paraId="00000185">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1. ArcticToday. (2025). Norway freezes plans for Arctic seabed mining after budget deal.</w:t>
      </w:r>
      <w:r w:rsidDel="00000000" w:rsidR="00000000" w:rsidRPr="00000000">
        <w:rPr>
          <w:rtl w:val="0"/>
        </w:rPr>
      </w:r>
    </w:p>
    <w:p w:rsidR="00000000" w:rsidDel="00000000" w:rsidP="00000000" w:rsidRDefault="00000000" w:rsidRPr="00000000" w14:paraId="00000186">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2. Euronews. (2025). Deep-sea mining: Norway halts controversial practice until 2029.</w:t>
      </w:r>
      <w:r w:rsidDel="00000000" w:rsidR="00000000" w:rsidRPr="00000000">
        <w:rPr>
          <w:rtl w:val="0"/>
        </w:rPr>
      </w:r>
    </w:p>
    <w:p w:rsidR="00000000" w:rsidDel="00000000" w:rsidP="00000000" w:rsidRDefault="00000000" w:rsidRPr="00000000" w14:paraId="00000187">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3. Alberts, E. C. (2025). With deep-sea mining plans in limbo, Norwegian companies fold or dig in. Mongabay.</w:t>
      </w:r>
      <w:r w:rsidDel="00000000" w:rsidR="00000000" w:rsidRPr="00000000">
        <w:rPr>
          <w:rtl w:val="0"/>
        </w:rPr>
      </w:r>
    </w:p>
    <w:p w:rsidR="00000000" w:rsidDel="00000000" w:rsidP="00000000" w:rsidRDefault="00000000" w:rsidRPr="00000000" w14:paraId="00000188">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4. European Union. (2024). Regulation (EU) 2024/1252 of the European Parliament and of the Council on critical raw materials. EUR-Lex.</w:t>
      </w:r>
      <w:r w:rsidDel="00000000" w:rsidR="00000000" w:rsidRPr="00000000">
        <w:rPr>
          <w:rtl w:val="0"/>
        </w:rPr>
      </w:r>
    </w:p>
    <w:p w:rsidR="00000000" w:rsidDel="00000000" w:rsidP="00000000" w:rsidRDefault="00000000" w:rsidRPr="00000000" w14:paraId="00000189">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5. European Court of Auditors. (2026). Special report 04/2026: Critical raw materials for the energy transition—Not a rock-solid policy. Publications Office of the European Union.</w:t>
      </w:r>
      <w:r w:rsidDel="00000000" w:rsidR="00000000" w:rsidRPr="00000000">
        <w:rPr>
          <w:rtl w:val="0"/>
        </w:rPr>
      </w:r>
    </w:p>
    <w:p w:rsidR="00000000" w:rsidDel="00000000" w:rsidP="00000000" w:rsidRDefault="00000000" w:rsidRPr="00000000" w14:paraId="0000018A">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6. European Commission. (2025). RESourceEU action plan.</w:t>
      </w:r>
      <w:r w:rsidDel="00000000" w:rsidR="00000000" w:rsidRPr="00000000">
        <w:rPr>
          <w:rtl w:val="0"/>
        </w:rPr>
      </w:r>
    </w:p>
    <w:p w:rsidR="00000000" w:rsidDel="00000000" w:rsidP="00000000" w:rsidRDefault="00000000" w:rsidRPr="00000000" w14:paraId="0000018B">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7. Critical Metals Corp. (2026). Annual report (Form 20-F). U.S. Securities and Exchange Commission.</w:t>
      </w:r>
      <w:r w:rsidDel="00000000" w:rsidR="00000000" w:rsidRPr="00000000">
        <w:rPr>
          <w:rtl w:val="0"/>
        </w:rPr>
      </w:r>
    </w:p>
    <w:p w:rsidR="00000000" w:rsidDel="00000000" w:rsidP="00000000" w:rsidRDefault="00000000" w:rsidRPr="00000000" w14:paraId="0000018C">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8. Earth Negotiations Bulletin. (2025). Summary of the first part of the 30th annual session of the International Seabed Authority, 17–28 March 2025. International Institute for Sustainable Development.</w:t>
      </w:r>
      <w:r w:rsidDel="00000000" w:rsidR="00000000" w:rsidRPr="00000000">
        <w:rPr>
          <w:rtl w:val="0"/>
        </w:rPr>
      </w:r>
    </w:p>
    <w:p w:rsidR="00000000" w:rsidDel="00000000" w:rsidP="00000000" w:rsidRDefault="00000000" w:rsidRPr="00000000" w14:paraId="0000018D">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9. Lawson, M. F. (2021). The DRC mining industry: Child labor and formalization of small-scale mining. Wilson Center.</w:t>
      </w:r>
      <w:r w:rsidDel="00000000" w:rsidR="00000000" w:rsidRPr="00000000">
        <w:rPr>
          <w:rtl w:val="0"/>
        </w:rPr>
      </w:r>
    </w:p>
    <w:p w:rsidR="00000000" w:rsidDel="00000000" w:rsidP="00000000" w:rsidRDefault="00000000" w:rsidRPr="00000000" w14:paraId="0000018E">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10. Jacques Delors Centre. (2025). The EU's critical raw materials predicament: ReSourceEU to the rescue?</w:t>
      </w:r>
      <w:r w:rsidDel="00000000" w:rsidR="00000000" w:rsidRPr="00000000">
        <w:rPr>
          <w:rtl w:val="0"/>
        </w:rPr>
      </w:r>
    </w:p>
    <w:p w:rsidR="00000000" w:rsidDel="00000000" w:rsidP="00000000" w:rsidRDefault="00000000" w:rsidRPr="00000000" w14:paraId="0000018F">
      <w:pPr>
        <w:pStyle w:val="Heading2"/>
        <w:rPr/>
      </w:pPr>
      <w:r w:rsidDel="00000000" w:rsidR="00000000" w:rsidRPr="00000000">
        <w:rPr>
          <w:rFonts w:ascii="Times New Roman" w:cs="Times New Roman" w:eastAsia="Times New Roman" w:hAnsi="Times New Roman"/>
          <w:b w:val="1"/>
          <w:bCs w:val="1"/>
          <w:i w:val="0"/>
          <w:iCs w:val="0"/>
          <w:sz w:val="24"/>
          <w:szCs w:val="24"/>
          <w:rtl w:val="0"/>
        </w:rPr>
        <w:t xml:space="preserve">Notes — </w:t>
      </w:r>
      <w:r w:rsidDel="00000000" w:rsidR="00000000" w:rsidRPr="00000000">
        <w:rPr>
          <w:b w:val="1"/>
          <w:bCs w:val="1"/>
          <w:sz w:val="24"/>
          <w:szCs w:val="24"/>
          <w:rtl w:val="0"/>
        </w:rPr>
        <w:t xml:space="preserve">Mineral Laundering &amp; Militias: Tracing Beneficial Ownership Behind Critical Mineral Transactions</w:t>
      </w:r>
      <w:r w:rsidDel="00000000" w:rsidR="00000000" w:rsidRPr="00000000">
        <w:rPr>
          <w:rtl w:val="0"/>
        </w:rPr>
      </w:r>
    </w:p>
    <w:p w:rsidR="00000000" w:rsidDel="00000000" w:rsidP="00000000" w:rsidRDefault="00000000" w:rsidRPr="00000000" w14:paraId="00000190">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1. Public Citizen Global Trade Watch, "Map of Known Critical Minerals-Related Instruments Since 2025" (updated 2026); corroborated by U.S. Dept. of State, "2026 Critical Minerals Ministerial" press release, confirming 11 new frameworks signed Feb. 4, 2026 plus 10 others in the preceding five months.</w:t>
      </w:r>
      <w:r w:rsidDel="00000000" w:rsidR="00000000" w:rsidRPr="00000000">
        <w:rPr>
          <w:rtl w:val="0"/>
        </w:rPr>
      </w:r>
    </w:p>
    <w:p w:rsidR="00000000" w:rsidDel="00000000" w:rsidP="00000000" w:rsidRDefault="00000000" w:rsidRPr="00000000" w14:paraId="00000191">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2. CSIS, "What to Know About the Signed U.S.-Ukraine Minerals Deal" (May 2025). Agreement signed April 30, 2025.</w:t>
      </w:r>
      <w:r w:rsidDel="00000000" w:rsidR="00000000" w:rsidRPr="00000000">
        <w:rPr>
          <w:rtl w:val="0"/>
        </w:rPr>
      </w:r>
    </w:p>
    <w:p w:rsidR="00000000" w:rsidDel="00000000" w:rsidP="00000000" w:rsidRDefault="00000000" w:rsidRPr="00000000" w14:paraId="00000192">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3. U.S. Department of State, "Strategic Partnership Agreement Between the Government of the United States of America and the Government of the Democratic Republic of the Congo," signed Dec. 4, 2025.</w:t>
      </w:r>
      <w:r w:rsidDel="00000000" w:rsidR="00000000" w:rsidRPr="00000000">
        <w:rPr>
          <w:rtl w:val="0"/>
        </w:rPr>
      </w:r>
    </w:p>
    <w:p w:rsidR="00000000" w:rsidDel="00000000" w:rsidP="00000000" w:rsidRDefault="00000000" w:rsidRPr="00000000" w14:paraId="00000193">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4. U.S. Department of Energy, "United States and Saudi Arabia Strengthen Alliance with Energy &amp; Critical Mineral Deals," May 13, 2025.</w:t>
      </w:r>
      <w:r w:rsidDel="00000000" w:rsidR="00000000" w:rsidRPr="00000000">
        <w:rPr>
          <w:rtl w:val="0"/>
        </w:rPr>
      </w:r>
    </w:p>
    <w:p w:rsidR="00000000" w:rsidDel="00000000" w:rsidP="00000000" w:rsidRDefault="00000000" w:rsidRPr="00000000" w14:paraId="00000194">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5. U.S. Department of State, "2026 Critical Minerals Ministerial," Feb. 5, 2026 — naming Guinea, Morocco, Peru, the Philippines, and Uzbekistan among the signatories.</w:t>
      </w:r>
      <w:r w:rsidDel="00000000" w:rsidR="00000000" w:rsidRPr="00000000">
        <w:rPr>
          <w:rtl w:val="0"/>
        </w:rPr>
      </w:r>
    </w:p>
    <w:p w:rsidR="00000000" w:rsidDel="00000000" w:rsidP="00000000" w:rsidRDefault="00000000" w:rsidRPr="00000000" w14:paraId="00000195">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6. U.S. Department of Energy, "Energy Department Announces $500 Million to Secure America's Critical Mineral and Battery Supply Chains," Aug. 20, 2026.</w:t>
      </w:r>
      <w:r w:rsidDel="00000000" w:rsidR="00000000" w:rsidRPr="00000000">
        <w:rPr>
          <w:rtl w:val="0"/>
        </w:rPr>
      </w:r>
    </w:p>
    <w:p w:rsidR="00000000" w:rsidDel="00000000" w:rsidP="00000000" w:rsidRDefault="00000000" w:rsidRPr="00000000" w14:paraId="00000196">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7. Extractive Industries Transparency Initiative (EITI), "Beneficial Ownership."</w:t>
      </w:r>
      <w:r w:rsidDel="00000000" w:rsidR="00000000" w:rsidRPr="00000000">
        <w:rPr>
          <w:rtl w:val="0"/>
        </w:rPr>
      </w:r>
    </w:p>
    <w:p w:rsidR="00000000" w:rsidDel="00000000" w:rsidP="00000000" w:rsidRDefault="00000000" w:rsidRPr="00000000" w14:paraId="00000197">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8. London Stock Exchange Group (LSEG), "Beneficial Ownership: Identifying True Control in Business."</w:t>
      </w:r>
      <w:r w:rsidDel="00000000" w:rsidR="00000000" w:rsidRPr="00000000">
        <w:rPr>
          <w:rtl w:val="0"/>
        </w:rPr>
      </w:r>
    </w:p>
    <w:p w:rsidR="00000000" w:rsidDel="00000000" w:rsidP="00000000" w:rsidRDefault="00000000" w:rsidRPr="00000000" w14:paraId="00000198">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9. U.S. Department of State, "Signing of the Washington Accords for Peace and Prosperity Between the Democratic Republic of the Congo and Rwanda," Dec. 4, 2025 (reaffirming the Peace Agreement signed June 27, 2025); corroborating on preferential mineral access, MINING.COM, "DRC pitches manganese, copper, cobalt, lithium to US," Jan. 2026.</w:t>
      </w:r>
      <w:r w:rsidDel="00000000" w:rsidR="00000000" w:rsidRPr="00000000">
        <w:rPr>
          <w:rtl w:val="0"/>
        </w:rPr>
      </w:r>
    </w:p>
    <w:p w:rsidR="00000000" w:rsidDel="00000000" w:rsidP="00000000" w:rsidRDefault="00000000" w:rsidRPr="00000000" w14:paraId="00000199">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10. The EastAfrican / Rwanda Mining Board, "How Rwanda's Mining Sector is Powering Towards the NST-2 $2.17B Goal" (Apr. 2025), confirming $373M (2017) to $1.75B (2024) — an increase of roughly 370 percent, which official Rwandan sources describe as having "more than tripled," rather than the "nearly 500%" figure in earlier drafts.</w:t>
      </w:r>
      <w:r w:rsidDel="00000000" w:rsidR="00000000" w:rsidRPr="00000000">
        <w:rPr>
          <w:rtl w:val="0"/>
        </w:rPr>
      </w:r>
    </w:p>
    <w:p w:rsidR="00000000" w:rsidDel="00000000" w:rsidP="00000000" w:rsidRDefault="00000000" w:rsidRPr="00000000" w14:paraId="0000019A">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11. Mining Weekly / Reuters, "Mineral smuggling from Congo to Rwanda at 'unprecedented levels', UN says," July 2025, citing a UN Group of Experts report; additional corroboration from the Oakland Institute, "US Imports of Smuggled Congolese Coltan."</w:t>
      </w:r>
      <w:r w:rsidDel="00000000" w:rsidR="00000000" w:rsidRPr="00000000">
        <w:rPr>
          <w:rtl w:val="0"/>
        </w:rPr>
      </w:r>
    </w:p>
    <w:p w:rsidR="00000000" w:rsidDel="00000000" w:rsidP="00000000" w:rsidRDefault="00000000" w:rsidRPr="00000000" w14:paraId="0000019B">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12. U.S. Department of the Treasury, "Treasury Sanctions Rwandan Gold Refinery and Network Enabling Illicit Conflict Minerals Trade," June 25, 2026; Federal Register Notice of OFAC Sanctions Action, July 1, 2026. OFAC's designee is Gasabo Gold Refinery LTD, chaired by Jean Malic Kalima (OFAC's SDN entry: "Kalima Karekezi, Jean Malic"); the three additional designated Rwandan companies are Bugambira Mines LTD, Wolfram Mining and Processing LTD, and Rwinkwavu Mining Corporation LTD.</w:t>
      </w:r>
      <w:r w:rsidDel="00000000" w:rsidR="00000000" w:rsidRPr="00000000">
        <w:rPr>
          <w:rtl w:val="0"/>
        </w:rPr>
      </w:r>
    </w:p>
    <w:p w:rsidR="00000000" w:rsidDel="00000000" w:rsidP="00000000" w:rsidRDefault="00000000" w:rsidRPr="00000000" w14:paraId="0000019C">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13. U.S. Department of the Treasury, "Treasury Sanctions Rwandan Minister and Senior Militant for Conflict in the Democratic Republic of the Congo," Feb. 20, 2025.</w:t>
      </w:r>
      <w:r w:rsidDel="00000000" w:rsidR="00000000" w:rsidRPr="00000000">
        <w:rPr>
          <w:rtl w:val="0"/>
        </w:rPr>
      </w:r>
    </w:p>
    <w:p w:rsidR="00000000" w:rsidDel="00000000" w:rsidP="00000000" w:rsidRDefault="00000000" w:rsidRPr="00000000" w14:paraId="0000019D">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14. U.S. Department of the Treasury press release, Feb. 20, 2025; Bloomberg, "DR Congo Conflict: US Sanctions Ex-Rwanda Army Chief James Kabarebe," Feb. 20, 2025. Kabarebe already held the title of Minister of State for Regional Integration at the time of the February 2025 sanctions, ten months before the December 2025 Accords.</w:t>
      </w:r>
      <w:r w:rsidDel="00000000" w:rsidR="00000000" w:rsidRPr="00000000">
        <w:rPr>
          <w:rtl w:val="0"/>
        </w:rPr>
      </w:r>
    </w:p>
    <w:p w:rsidR="00000000" w:rsidDel="00000000" w:rsidP="00000000" w:rsidRDefault="00000000" w:rsidRPr="00000000" w14:paraId="0000019E">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15. Al Jazeera, "What is China's anti-sanctions law and how does it work?"; Brookings, "Beijing's sanctions dilemma: Chinese narratives on economic coercion."</w:t>
      </w:r>
      <w:r w:rsidDel="00000000" w:rsidR="00000000" w:rsidRPr="00000000">
        <w:rPr>
          <w:rtl w:val="0"/>
        </w:rPr>
      </w:r>
    </w:p>
    <w:p w:rsidR="00000000" w:rsidDel="00000000" w:rsidP="00000000" w:rsidRDefault="00000000" w:rsidRPr="00000000" w14:paraId="0000019F">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16. Human Rights Watch, "Minerals for peace? How to make the Rwanda-DRC deal stick," July 7, 2025 — describing the June 27, 2025 peace agreement, reasonably extended here to the December Accords that formalized it, as "a mineral deal first, an opportunity for peace second."</w:t>
      </w:r>
      <w:r w:rsidDel="00000000" w:rsidR="00000000" w:rsidRPr="00000000">
        <w:rPr>
          <w:rtl w:val="0"/>
        </w:rPr>
      </w:r>
    </w:p>
    <w:p w:rsidR="00000000" w:rsidDel="00000000" w:rsidP="00000000" w:rsidRDefault="00000000" w:rsidRPr="00000000" w14:paraId="000001A0">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17. AidData, "Chasing copper and cobalt: China's mining operations in Peru and the DRC"; EITI, "Sicomines: How the EITI in DRC helped secure $4 billion in additional revenue."</w:t>
      </w:r>
      <w:r w:rsidDel="00000000" w:rsidR="00000000" w:rsidRPr="00000000">
        <w:rPr>
          <w:rtl w:val="0"/>
        </w:rPr>
      </w:r>
    </w:p>
    <w:p w:rsidR="00000000" w:rsidDel="00000000" w:rsidP="00000000" w:rsidRDefault="00000000" w:rsidRPr="00000000" w14:paraId="000001A1">
      <w:pPr>
        <w:pStyle w:val="Heading2"/>
        <w:rPr/>
      </w:pPr>
      <w:r w:rsidDel="00000000" w:rsidR="00000000" w:rsidRPr="00000000">
        <w:rPr>
          <w:rFonts w:ascii="Times New Roman" w:cs="Times New Roman" w:eastAsia="Times New Roman" w:hAnsi="Times New Roman"/>
          <w:b w:val="1"/>
          <w:bCs w:val="1"/>
          <w:i w:val="0"/>
          <w:iCs w:val="0"/>
          <w:sz w:val="24"/>
          <w:szCs w:val="24"/>
          <w:rtl w:val="0"/>
        </w:rPr>
        <w:t xml:space="preserve">References — Indo-Pacific Positioning: Indonesia, the Philippines, and Australia in the Critical Minerals Competition</w:t>
      </w:r>
      <w:r w:rsidDel="00000000" w:rsidR="00000000" w:rsidRPr="00000000">
        <w:rPr>
          <w:rtl w:val="0"/>
        </w:rPr>
      </w:r>
    </w:p>
    <w:p w:rsidR="00000000" w:rsidDel="00000000" w:rsidP="00000000" w:rsidRDefault="00000000" w:rsidRPr="00000000" w14:paraId="000001A2">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the Critical Minerals Competition Consultores, H., &amp; Kolibri. (2025). Accelerating Battery Supply Chain for RE and EV Development in Indonesia. UNOPS – Energy Transition Partnership, 1–7. https://www.energytransitionpartnership.org/wp-content/uploads/2025/07/250704_Policy-Brief-D3_V2.pdf Critical Minerals Strategy 2023–2030. (2023). https://www.industry.gov.au/sites/default/files/2023-06/critical-minerals-strategy-2023-2030.pdf Guberman, D., Schreiber, S., &amp; Perry, A. (2024). Office of Industry and Competitiveness Analysis Export Restrictions on Minerals and Metals: Indonesia's Export Ban of Nickel. Working Paper ICA-104, 2–28. Philippines: Nickel Industry. (2025). Ashu Research Inc., 1–5. https://cms.scout.asia/wp-content/uploads/2025/10/20251014-PHP-16-01.pdf Phoumin, H. (2025). Indonesia's Strategy Toward Critical Minerals and Cooperation with the United States. The National Bureau of Asian Research, 1–3. Rahayu Edarsasi, P. (2025). Implementation of Resource Nationalism Through Nickel Downstreaming Policy as a Form of Indonesian Economic Sovereignty. International Journal of Social Science and Human Research, 08, 1–6. https://doi.org/10.47191/ijsshr/v8-i12-49</w:t>
      </w:r>
      <w:r w:rsidDel="00000000" w:rsidR="00000000" w:rsidRPr="00000000">
        <w:rPr>
          <w:rtl w:val="0"/>
        </w:rPr>
      </w:r>
    </w:p>
    <w:p w:rsidR="00000000" w:rsidDel="00000000" w:rsidP="00000000" w:rsidRDefault="00000000" w:rsidRPr="00000000" w14:paraId="000001A3">
      <w:pPr>
        <w:pStyle w:val="Heading2"/>
        <w:rPr/>
      </w:pPr>
      <w:r w:rsidDel="00000000" w:rsidR="00000000" w:rsidRPr="00000000">
        <w:rPr>
          <w:rFonts w:ascii="Times New Roman" w:cs="Times New Roman" w:eastAsia="Times New Roman" w:hAnsi="Times New Roman"/>
          <w:b w:val="1"/>
          <w:bCs w:val="1"/>
          <w:i w:val="0"/>
          <w:iCs w:val="0"/>
          <w:sz w:val="24"/>
          <w:szCs w:val="24"/>
          <w:rtl w:val="0"/>
        </w:rPr>
        <w:t xml:space="preserve">Supplementary Notes — Indo-Pacific Positioning (numeric/factual sourcing)</w:t>
      </w:r>
      <w:r w:rsidDel="00000000" w:rsidR="00000000" w:rsidRPr="00000000">
        <w:rPr>
          <w:rtl w:val="0"/>
        </w:rPr>
      </w:r>
    </w:p>
    <w:p w:rsidR="00000000" w:rsidDel="00000000" w:rsidP="00000000" w:rsidRDefault="00000000" w:rsidRPr="00000000" w14:paraId="000001A4">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7. Argus Media, "Philippines axes planned ban on nickel ore exports," June 18, 2025 -- confirms 44.97mn wmt total exports in 2024, of which 35.12mn wmt went to China</w:t>
      </w:r>
      <w:r w:rsidDel="00000000" w:rsidR="00000000" w:rsidRPr="00000000">
        <w:rPr>
          <w:rtl w:val="0"/>
        </w:rPr>
      </w:r>
    </w:p>
    <w:p w:rsidR="00000000" w:rsidDel="00000000" w:rsidP="00000000" w:rsidRDefault="00000000" w:rsidRPr="00000000" w14:paraId="000001A5">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8. Philippine News Agency, "PH nickel sector seen to expand role in global supply chains," Mar. 26, 2026 -- China's share fell from 78% (2024) to 66% (2025) as Indonesia absorbed more</w:t>
      </w:r>
      <w:r w:rsidDel="00000000" w:rsidR="00000000" w:rsidRPr="00000000">
        <w:rPr>
          <w:rtl w:val="0"/>
        </w:rPr>
      </w:r>
    </w:p>
    <w:p w:rsidR="00000000" w:rsidDel="00000000" w:rsidP="00000000" w:rsidRDefault="00000000" w:rsidRPr="00000000" w14:paraId="000001A6">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9. BusinessWorld, "Lawmakers drop ore export ban," June 12, 2025; Argus Media, "Philippines axes planned ban on nickel ore exports," June 18, 2025 -- Senate Bill No. 2826 passed Feb. 3, 2025; ban provision removed by bicameral committee in June 2025</w:t>
      </w:r>
      <w:r w:rsidDel="00000000" w:rsidR="00000000" w:rsidRPr="00000000">
        <w:rPr>
          <w:rtl w:val="0"/>
        </w:rPr>
      </w:r>
    </w:p>
    <w:p w:rsidR="00000000" w:rsidDel="00000000" w:rsidP="00000000" w:rsidRDefault="00000000" w:rsidRPr="00000000" w14:paraId="000001A7">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10. Prime Minister of Australia, "$2 billion critical minerals boost crucial to energy transition," Oct. 25, 2023 (expansion takes value-adding investments to $6 billion); IEA, "Critical Minerals Facility – Policies" (confirms $5 billion managed as of February 2026)</w:t>
      </w:r>
      <w:r w:rsidDel="00000000" w:rsidR="00000000" w:rsidRPr="00000000">
        <w:rPr>
          <w:rtl w:val="0"/>
        </w:rPr>
      </w:r>
    </w:p>
    <w:p w:rsidR="00000000" w:rsidDel="00000000" w:rsidP="00000000" w:rsidRDefault="00000000" w:rsidRPr="00000000" w14:paraId="000001A8">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11. National Reconstruction Fund Corporation, "NRFC to invest $50 million in Liontown Resources' Kathleen Valley Lithium Project," Aug. 7, 2025</w:t>
      </w:r>
      <w:r w:rsidDel="00000000" w:rsidR="00000000" w:rsidRPr="00000000">
        <w:rPr>
          <w:rtl w:val="0"/>
        </w:rPr>
      </w:r>
    </w:p>
    <w:p w:rsidR="00000000" w:rsidDel="00000000" w:rsidP="00000000" w:rsidRDefault="00000000" w:rsidRPr="00000000" w14:paraId="000001A9">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12. Australian Government, "Security and investment," Budget 2026–27 (official figures: up to $1 billion for Boyne Island, matched by Queensland, unlocking almost $7.5 billion in private investment; $222.6 million further funding for Whyalla)</w:t>
      </w:r>
      <w:r w:rsidDel="00000000" w:rsidR="00000000" w:rsidRPr="00000000">
        <w:rPr>
          <w:rtl w:val="0"/>
        </w:rPr>
      </w:r>
    </w:p>
    <w:p w:rsidR="00000000" w:rsidDel="00000000" w:rsidP="00000000" w:rsidRDefault="00000000" w:rsidRPr="00000000" w14:paraId="000001AA">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13. Lexology, "Unpacking the landmark US-Australia critical minerals supply framework," Oct. 21, 2025; Australian Dept. of Industry, Science and Resources, "Australia and United States advance cooperation on critical minerals and rare earths supply chains," Apr. 13, 2026 (confirms $1.4bn Australia / $2.2bn US committed to named projects) Note: the Framework was signed Oct. 20, 2025 -- consider stating this precise date.</w:t>
      </w:r>
      <w:r w:rsidDel="00000000" w:rsidR="00000000" w:rsidRPr="00000000">
        <w:rPr>
          <w:rtl w:val="0"/>
        </w:rPr>
      </w:r>
    </w:p>
    <w:p w:rsidR="00000000" w:rsidDel="00000000" w:rsidP="00000000" w:rsidRDefault="00000000" w:rsidRPr="00000000" w14:paraId="000001AB">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14. Australian Dept. of Industry, Science and Resources (DISR), Critical Minerals Strategy 2023–2030, "Opportunities: Australia" webpage CORRECTION: the "81 projects, $30–42 billion" figure is DISR data as of December 2022 -- it predates the "nine loans... in 2023" reference point and is not a current 2025/26 figure. Re-sequence or substitute a current pipeline figure.</w:t>
      </w:r>
      <w:r w:rsidDel="00000000" w:rsidR="00000000" w:rsidRPr="00000000">
        <w:rPr>
          <w:rtl w:val="0"/>
        </w:rPr>
      </w:r>
    </w:p>
    <w:p w:rsidR="00000000" w:rsidDel="00000000" w:rsidP="00000000" w:rsidRDefault="00000000" w:rsidRPr="00000000" w14:paraId="000001AC">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16. Mining Weekly, "First loans approved under A$2bn Critical Minerals Facility," Feb. 2, 2022 -- Renascor Resources' Siviour graphite project: ~$185m loan against ~$200m start-up capital; EcoGraf: up to $40m for its Kwinana battery anode facility</w:t>
      </w:r>
      <w:r w:rsidDel="00000000" w:rsidR="00000000" w:rsidRPr="00000000">
        <w:rPr>
          <w:rtl w:val="0"/>
        </w:rPr>
      </w:r>
    </w:p>
    <w:p w:rsidR="00000000" w:rsidDel="00000000" w:rsidP="00000000" w:rsidRDefault="00000000" w:rsidRPr="00000000" w14:paraId="000001AD">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25. Australian Dept. of Industry, Science and Resources, "Australia and United States advance cooperation on critical minerals and rare earths supply chains," Apr. 13, 2026 (see also [13])</w:t>
      </w:r>
      <w:r w:rsidDel="00000000" w:rsidR="00000000" w:rsidRPr="00000000">
        <w:rPr>
          <w:rtl w:val="0"/>
        </w:rPr>
      </w:r>
    </w:p>
    <w:p w:rsidR="00000000" w:rsidDel="00000000" w:rsidP="00000000" w:rsidRDefault="00000000" w:rsidRPr="00000000" w14:paraId="000001AE">
      <w:pPr>
        <w:pStyle w:val="Heading2"/>
        <w:rPr/>
      </w:pPr>
      <w:r w:rsidDel="00000000" w:rsidR="00000000" w:rsidRPr="00000000">
        <w:rPr>
          <w:rFonts w:ascii="Times New Roman" w:cs="Times New Roman" w:eastAsia="Times New Roman" w:hAnsi="Times New Roman"/>
          <w:b w:val="1"/>
          <w:bCs w:val="1"/>
          <w:i w:val="0"/>
          <w:iCs w:val="0"/>
          <w:sz w:val="24"/>
          <w:szCs w:val="24"/>
          <w:rtl w:val="0"/>
        </w:rPr>
        <w:t xml:space="preserve">Notes — The Yakjilva Mine as a Showcase of China's Eurasian Resource Access Strategy</w:t>
      </w:r>
      <w:r w:rsidDel="00000000" w:rsidR="00000000" w:rsidRPr="00000000">
        <w:rPr>
          <w:rtl w:val="0"/>
        </w:rPr>
      </w:r>
    </w:p>
    <w:p w:rsidR="00000000" w:rsidDel="00000000" w:rsidP="00000000" w:rsidRDefault="00000000" w:rsidRPr="00000000" w14:paraId="000001AF">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Strategy</w:t>
      </w:r>
      <w:r w:rsidDel="00000000" w:rsidR="00000000" w:rsidRPr="00000000">
        <w:rPr>
          <w:rtl w:val="0"/>
        </w:rPr>
      </w:r>
    </w:p>
    <w:p w:rsidR="00000000" w:rsidDel="00000000" w:rsidP="00000000" w:rsidRDefault="00000000" w:rsidRPr="00000000" w14:paraId="000001B0">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1. Gerry Shih, "In Central Asia's Forbidding Highlands, a Quiet Newcomer: Chinese Troops," Washington Post, February 18, 2019, https://www.washingtonpost.com/world/asia_pacific/in-central-asias-forbidding-highlands-a-quiet-newcomer-chinese-tro ops/2019/02/18/78d4a8d0-1e62-11e9-a759-2b8541bbbe20_story.html; Samuel Schlichting, Balancing Structural Power: Reactions to China's Rise in Eurasia (Würzburg: Würzburg University Press, 2025), 220--253.</w:t>
      </w:r>
      <w:r w:rsidDel="00000000" w:rsidR="00000000" w:rsidRPr="00000000">
        <w:rPr>
          <w:rtl w:val="0"/>
        </w:rPr>
      </w:r>
    </w:p>
    <w:p w:rsidR="00000000" w:rsidDel="00000000" w:rsidP="00000000" w:rsidRDefault="00000000" w:rsidRPr="00000000" w14:paraId="000001B1">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2. Tianshannet, "Karasu Port Sees Double Growth in Passenger and Cargo Traffic," May 18, 2026, http://english.ts.cn/system/2026/05/15/037004614.shtml.</w:t>
      </w:r>
      <w:r w:rsidDel="00000000" w:rsidR="00000000" w:rsidRPr="00000000">
        <w:rPr>
          <w:rtl w:val="0"/>
        </w:rPr>
      </w:r>
    </w:p>
    <w:p w:rsidR="00000000" w:rsidDel="00000000" w:rsidP="00000000" w:rsidRDefault="00000000" w:rsidRPr="00000000" w14:paraId="000001B2">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3. Catherine Putz, "Months After Attacks, Chinese Work Resumes on the Dushanbe-Kulma Highway," The Diplomat, June 30, 2026, https://thediplomat.com/2026/06/months-after-attacks-chinese-work-resumes-on-the-dushanbe-kulma-highway/.</w:t>
      </w:r>
      <w:r w:rsidDel="00000000" w:rsidR="00000000" w:rsidRPr="00000000">
        <w:rPr>
          <w:rtl w:val="0"/>
        </w:rPr>
      </w:r>
    </w:p>
    <w:p w:rsidR="00000000" w:rsidDel="00000000" w:rsidP="00000000" w:rsidRDefault="00000000" w:rsidRPr="00000000" w14:paraId="000001B3">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4. Kamila Ibragimova, "Tajikistan Gifts Silver Mine License to Chinese Company," Eurasianet, October 3, 2019, https://eurasianet.org/tajikistan-gifts-silver-mine-license-to-chinese-company. [Note: the source list in the original draft dated this article October 3, 2029; the article itself is dated 2019, and the correction is reflected here.]</w:t>
      </w:r>
      <w:r w:rsidDel="00000000" w:rsidR="00000000" w:rsidRPr="00000000">
        <w:rPr>
          <w:rtl w:val="0"/>
        </w:rPr>
      </w:r>
    </w:p>
    <w:p w:rsidR="00000000" w:rsidDel="00000000" w:rsidP="00000000" w:rsidRDefault="00000000" w:rsidRPr="00000000" w14:paraId="000001B4">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5. Ibragimova, "Tajikistan Gifts Silver Mine License" (see full citation above).</w:t>
      </w:r>
      <w:r w:rsidDel="00000000" w:rsidR="00000000" w:rsidRPr="00000000">
        <w:rPr>
          <w:rtl w:val="0"/>
        </w:rPr>
      </w:r>
    </w:p>
    <w:p w:rsidR="00000000" w:rsidDel="00000000" w:rsidP="00000000" w:rsidRDefault="00000000" w:rsidRPr="00000000" w14:paraId="000001B5">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6. Farangis Najibullah, "Silver Lining? Tajikistan Defends Controversial Decision to Give Mine to China," RFE/RL, October 4, 2019, https://www.rferl.org/a/silver-lining-tajikistan-defends-controversial-decision-to-give-mine-to-china/30199786.html.</w:t>
      </w:r>
      <w:r w:rsidDel="00000000" w:rsidR="00000000" w:rsidRPr="00000000">
        <w:rPr>
          <w:rtl w:val="0"/>
        </w:rPr>
      </w:r>
    </w:p>
    <w:p w:rsidR="00000000" w:rsidDel="00000000" w:rsidP="00000000" w:rsidRDefault="00000000" w:rsidRPr="00000000" w14:paraId="000001B6">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7. Najibullah, "Silver Lining?" (see full citation above).</w:t>
      </w:r>
      <w:r w:rsidDel="00000000" w:rsidR="00000000" w:rsidRPr="00000000">
        <w:rPr>
          <w:rtl w:val="0"/>
        </w:rPr>
      </w:r>
    </w:p>
    <w:p w:rsidR="00000000" w:rsidDel="00000000" w:rsidP="00000000" w:rsidRDefault="00000000" w:rsidRPr="00000000" w14:paraId="000001B7">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8. Schlichting, Balancing Structural Power (see full citation above), 144--45.</w:t>
      </w:r>
      <w:r w:rsidDel="00000000" w:rsidR="00000000" w:rsidRPr="00000000">
        <w:rPr>
          <w:rtl w:val="0"/>
        </w:rPr>
      </w:r>
    </w:p>
    <w:p w:rsidR="00000000" w:rsidDel="00000000" w:rsidP="00000000" w:rsidRDefault="00000000" w:rsidRPr="00000000" w14:paraId="000001B8">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9. Kulobiddin Norov, "Tajikistan's External Debt Grows in Complexity," The Diplomat, January 12, 2026, https://thediplomat.com/2026/01/tajikistans-external-debt-grows-in-complexity/.</w:t>
      </w:r>
      <w:r w:rsidDel="00000000" w:rsidR="00000000" w:rsidRPr="00000000">
        <w:rPr>
          <w:rtl w:val="0"/>
        </w:rPr>
      </w:r>
    </w:p>
    <w:p w:rsidR="00000000" w:rsidDel="00000000" w:rsidP="00000000" w:rsidRDefault="00000000" w:rsidRPr="00000000" w14:paraId="000001B9">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10. Syed Fazl-e-Haider, "Tajikistan Becomes Latest Victim of Cross-Border Attacks from Afghanistan," Jamestown Foundation, February 12, 2026, https://jamestown.org/tajikistan-becomes-latest-victim-of-cross-border-attacks-from-afghanistan/.</w:t>
      </w:r>
      <w:r w:rsidDel="00000000" w:rsidR="00000000" w:rsidRPr="00000000">
        <w:rPr>
          <w:rtl w:val="0"/>
        </w:rPr>
      </w:r>
    </w:p>
    <w:p w:rsidR="00000000" w:rsidDel="00000000" w:rsidP="00000000" w:rsidRDefault="00000000" w:rsidRPr="00000000" w14:paraId="000001BA">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11. Elizabeth C. Economy and Michael Levi, By All Means Necessary: How China's Resource Quest Is Changing the World (Oxford: Oxford University Press, 2014), 47.</w:t>
      </w:r>
      <w:r w:rsidDel="00000000" w:rsidR="00000000" w:rsidRPr="00000000">
        <w:rPr>
          <w:rtl w:val="0"/>
        </w:rPr>
      </w:r>
    </w:p>
    <w:p w:rsidR="00000000" w:rsidDel="00000000" w:rsidP="00000000" w:rsidRDefault="00000000" w:rsidRPr="00000000" w14:paraId="000001BB">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12. Marlène Laruelle and Sébastien Peyrouse, The Chinese Question in Central Asia: Domestic Order, Social Change, and the Chinese Factor (London: Hurst &amp; Company, 2012), 69.</w:t>
      </w:r>
      <w:r w:rsidDel="00000000" w:rsidR="00000000" w:rsidRPr="00000000">
        <w:rPr>
          <w:rtl w:val="0"/>
        </w:rPr>
      </w:r>
    </w:p>
    <w:p w:rsidR="00000000" w:rsidDel="00000000" w:rsidP="00000000" w:rsidRDefault="00000000" w:rsidRPr="00000000" w14:paraId="000001BC">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13. Economy and Levi, By All Means Necessary (see full citation above), 49--53.</w:t>
      </w:r>
      <w:r w:rsidDel="00000000" w:rsidR="00000000" w:rsidRPr="00000000">
        <w:rPr>
          <w:rtl w:val="0"/>
        </w:rPr>
      </w:r>
    </w:p>
    <w:p w:rsidR="00000000" w:rsidDel="00000000" w:rsidP="00000000" w:rsidRDefault="00000000" w:rsidRPr="00000000" w14:paraId="000001BD">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14. S. M. Nurdavletova et al., "Kazakh-Chinese Cooperation in Energy Sphere," Research Association for Interdisciplinary Studies, RAIS Conference Proceedings, August 3--4, 2023, 161--66, https://rais.education/wp-content/uploads/2023/09/0314.pdf.</w:t>
      </w:r>
      <w:r w:rsidDel="00000000" w:rsidR="00000000" w:rsidRPr="00000000">
        <w:rPr>
          <w:rtl w:val="0"/>
        </w:rPr>
      </w:r>
    </w:p>
    <w:p w:rsidR="00000000" w:rsidDel="00000000" w:rsidP="00000000" w:rsidRDefault="00000000" w:rsidRPr="00000000" w14:paraId="000001BE">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15. Jildiz Nicharapova, "Progress on the China-Kyrgyzstan-Uzbekistan Railway, Some Challenges Remain," The Diplomat, July 17, 2026, https://thediplomat.com/2026/07/progress-on-the-china-kyrgyzstan-uzbekistan-railway-some-challenges-remain/.</w:t>
      </w:r>
      <w:r w:rsidDel="00000000" w:rsidR="00000000" w:rsidRPr="00000000">
        <w:rPr>
          <w:rtl w:val="0"/>
        </w:rPr>
      </w:r>
    </w:p>
    <w:p w:rsidR="00000000" w:rsidDel="00000000" w:rsidP="00000000" w:rsidRDefault="00000000" w:rsidRPr="00000000" w14:paraId="000001BF">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16. Schlichting, Balancing Structural Power (see full citation above), 348.</w:t>
      </w:r>
      <w:r w:rsidDel="00000000" w:rsidR="00000000" w:rsidRPr="00000000">
        <w:rPr>
          <w:rtl w:val="0"/>
        </w:rPr>
      </w:r>
    </w:p>
    <w:p w:rsidR="00000000" w:rsidDel="00000000" w:rsidP="00000000" w:rsidRDefault="00000000" w:rsidRPr="00000000" w14:paraId="000001C0">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17. Mininginsight, "At the Point Zero of the Gashuunsukhait-Gantsmod Railway," June 1, 2025, https://en.mininginsight.mn/index.php?newsid=445.</w:t>
      </w:r>
      <w:r w:rsidDel="00000000" w:rsidR="00000000" w:rsidRPr="00000000">
        <w:rPr>
          <w:rtl w:val="0"/>
        </w:rPr>
      </w:r>
    </w:p>
    <w:p w:rsidR="00000000" w:rsidDel="00000000" w:rsidP="00000000" w:rsidRDefault="00000000" w:rsidRPr="00000000" w14:paraId="000001C1">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18. Putri Novelita, "China's Control of Rare Earths and the New Era of Geoeconomic Competition," Eurasia Review, March 16, 2026, https://www.eurasiareview.com/16032026-chinas-control-of-rare-earths-and-the-new-era-of-geoeconomic-competition-o ped/.</w:t>
      </w:r>
      <w:r w:rsidDel="00000000" w:rsidR="00000000" w:rsidRPr="00000000">
        <w:rPr>
          <w:rtl w:val="0"/>
        </w:rPr>
      </w:r>
    </w:p>
    <w:p w:rsidR="00000000" w:rsidDel="00000000" w:rsidP="00000000" w:rsidRDefault="00000000" w:rsidRPr="00000000" w14:paraId="000001C2">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19. Yunis Sharifli, "Differentiated Engagement: China's Adaptive Strategy for Critical Minerals in Central Asia," Trends Research &amp; Advisory, July 25, 2025, https://trendsgroup.org/insight/differentiated-engagement-chinas-adaptive-strategy-for-critical-minerals-in-central-asia/.</w:t>
      </w:r>
      <w:r w:rsidDel="00000000" w:rsidR="00000000" w:rsidRPr="00000000">
        <w:rPr>
          <w:rtl w:val="0"/>
        </w:rPr>
      </w:r>
    </w:p>
    <w:p w:rsidR="00000000" w:rsidDel="00000000" w:rsidP="00000000" w:rsidRDefault="00000000" w:rsidRPr="00000000" w14:paraId="000001C3">
      <w:pPr>
        <w:pStyle w:val="Heading2"/>
        <w:rPr/>
      </w:pPr>
      <w:r w:rsidDel="00000000" w:rsidR="00000000" w:rsidRPr="00000000">
        <w:rPr>
          <w:rFonts w:ascii="Times New Roman" w:cs="Times New Roman" w:eastAsia="Times New Roman" w:hAnsi="Times New Roman"/>
          <w:b w:val="1"/>
          <w:bCs w:val="1"/>
          <w:i w:val="0"/>
          <w:iCs w:val="0"/>
          <w:sz w:val="24"/>
          <w:szCs w:val="24"/>
          <w:rtl w:val="0"/>
        </w:rPr>
        <w:t xml:space="preserve">Notes — India's Infrastructure and Interagency Friction</w:t>
      </w:r>
      <w:r w:rsidDel="00000000" w:rsidR="00000000" w:rsidRPr="00000000">
        <w:rPr>
          <w:rtl w:val="0"/>
        </w:rPr>
      </w:r>
    </w:p>
    <w:p w:rsidR="00000000" w:rsidDel="00000000" w:rsidP="00000000" w:rsidRDefault="00000000" w:rsidRPr="00000000" w14:paraId="000001C4">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1. The Tribune / Republic World, "India ranks 3rd in rare earth reserves..." (citing Amicus Growth report), Dec. 29, 2025 -- India holds ~6.9 million tonnes REO, third after China (44Mt) and Brazil (21Mt)</w:t>
      </w:r>
      <w:r w:rsidDel="00000000" w:rsidR="00000000" w:rsidRPr="00000000">
        <w:rPr>
          <w:rtl w:val="0"/>
        </w:rPr>
      </w:r>
    </w:p>
    <w:p w:rsidR="00000000" w:rsidDel="00000000" w:rsidP="00000000" w:rsidRDefault="00000000" w:rsidRPr="00000000" w14:paraId="000001C5">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2. PIB / Ministry of Mines, Lok Sabha written reply by Minister of State Dr Jitendra Singh, July 23, 2025 (primary source): AMD estimates 7.23 Mt in-situ REO in 13.15 Mt monazite; GSI has augmented 482.6 Mt of REE ore resources across 34 exploration projects</w:t>
      </w:r>
      <w:r w:rsidDel="00000000" w:rsidR="00000000" w:rsidRPr="00000000">
        <w:rPr>
          <w:rtl w:val="0"/>
        </w:rPr>
      </w:r>
    </w:p>
    <w:p w:rsidR="00000000" w:rsidDel="00000000" w:rsidP="00000000" w:rsidRDefault="00000000" w:rsidRPr="00000000" w14:paraId="000001C6">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3. Prime Minister's Office of India (PIB), "Cabinet Approves 'National Critical Mineral Mission'... with an outlay of Rs.34,300 crore over seven years," Jan. 29, 2025 (primary source)</w:t>
      </w:r>
      <w:r w:rsidDel="00000000" w:rsidR="00000000" w:rsidRPr="00000000">
        <w:rPr>
          <w:rtl w:val="0"/>
        </w:rPr>
      </w:r>
    </w:p>
    <w:p w:rsidR="00000000" w:rsidDel="00000000" w:rsidP="00000000" w:rsidRDefault="00000000" w:rsidRPr="00000000" w14:paraId="000001C7">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4. CSEP, "Union Budget 2025-26: Long Road Ahead for India's Critical Minerals" (confirms NCMM's Rs.16,300 crore central allocation plus Rs.18,000 crore expected PSU investment, and that the Mission covers exploration through processing but sits under Ministry of Mines, separate from DAE's monazite authority)</w:t>
      </w:r>
      <w:r w:rsidDel="00000000" w:rsidR="00000000" w:rsidRPr="00000000">
        <w:rPr>
          <w:rtl w:val="0"/>
        </w:rPr>
      </w:r>
    </w:p>
    <w:p w:rsidR="00000000" w:rsidDel="00000000" w:rsidP="00000000" w:rsidRDefault="00000000" w:rsidRPr="00000000" w14:paraId="000001C8">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5. Vivekananda International Foundation, "Securing Bharat's Critical Mineral Supply Chains," 2024 (confirms IREL's PSU monopoly over beach-sand/monazite mining under the MMDR Act and Atomic [Minerals] Concession Rules)</w:t>
      </w:r>
      <w:r w:rsidDel="00000000" w:rsidR="00000000" w:rsidRPr="00000000">
        <w:rPr>
          <w:rtl w:val="0"/>
        </w:rPr>
      </w:r>
    </w:p>
    <w:p w:rsidR="00000000" w:rsidDel="00000000" w:rsidP="00000000" w:rsidRDefault="00000000" w:rsidRPr="00000000" w14:paraId="000001C9">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6. Vajiram &amp; Ravi, "Aluminium Ore, Distribution, Advantages, Uses, Significance," Sept. 26, 2025 -- India ranks 7th in world bauxite reserves and contributes about 5.3% of global aluminium output</w:t>
      </w:r>
      <w:r w:rsidDel="00000000" w:rsidR="00000000" w:rsidRPr="00000000">
        <w:rPr>
          <w:rtl w:val="0"/>
        </w:rPr>
      </w:r>
    </w:p>
    <w:p w:rsidR="00000000" w:rsidDel="00000000" w:rsidP="00000000" w:rsidRDefault="00000000" w:rsidRPr="00000000" w14:paraId="000001CA">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7. IEEFA, "India's critical mineral imports in 2025 and a shift towards supply diversification" -- India is 100% import-dependent for lithium, cobalt and nickel, and highly import-reliant for copper (FY25 copper ore imports: 2.3 million tonnes/$3.8bn); Business Standard, "Why critical minerals are becoming central to India's bilateral deals," July 2026 -- 2024-25 import bill led by platinum group elements, phosphorus, nickel, molybdenum and tin</w:t>
      </w:r>
      <w:r w:rsidDel="00000000" w:rsidR="00000000" w:rsidRPr="00000000">
        <w:rPr>
          <w:rtl w:val="0"/>
        </w:rPr>
      </w:r>
    </w:p>
    <w:p w:rsidR="00000000" w:rsidDel="00000000" w:rsidP="00000000" w:rsidRDefault="00000000" w:rsidRPr="00000000" w14:paraId="000001CB">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8. Wikipedia (sourced to GSI/Ministry of Mines primary announcements), "Jammu and Kashmir lithium reserves" -- 5.9 million tonnes inferred lithium ore at Salal-Haimana, Reasi district, found in clay rather than hard rock or brine, with commercial extraction "not yet proven"; PIIE, "India's lithium discovery faces uphill battle," 2024 -- two mine-rights auctions have failed for lack of bidders</w:t>
      </w:r>
      <w:r w:rsidDel="00000000" w:rsidR="00000000" w:rsidRPr="00000000">
        <w:rPr>
          <w:rtl w:val="0"/>
        </w:rPr>
      </w:r>
    </w:p>
    <w:p w:rsidR="00000000" w:rsidDel="00000000" w:rsidP="00000000" w:rsidRDefault="00000000" w:rsidRPr="00000000" w14:paraId="000001CC">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9. The Defence Horizon Journal, "India's Strategic Leap In Rare Earths" -- "This monopoly lasted from 1950 until March 2025, when the government finally allowed private-sector exploration of Rare Earth Elements"; DiscoveryAlert, "India Private Sector Thorium Access," 2026 -- confirms IREL "remains the sole entity legally authorised to extract and process monazite in India as of mid-2026"</w:t>
      </w:r>
      <w:r w:rsidDel="00000000" w:rsidR="00000000" w:rsidRPr="00000000">
        <w:rPr>
          <w:rtl w:val="0"/>
        </w:rPr>
      </w:r>
    </w:p>
    <w:p w:rsidR="00000000" w:rsidDel="00000000" w:rsidP="00000000" w:rsidRDefault="00000000" w:rsidRPr="00000000" w14:paraId="000001CD">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10. PIB (Lok Sabha reply, Feb. 2026, via Business Standard, "Monazite reserves pegged at 13.15 mn tonnes across 8 states: Reddy") -- monazite defined as "a mineral of thorium and rare earths," a prescribed substance under the Atomic Energy Act due to its uranium/thorium content, placing mining and processing under strict government control</w:t>
      </w:r>
      <w:r w:rsidDel="00000000" w:rsidR="00000000" w:rsidRPr="00000000">
        <w:rPr>
          <w:rtl w:val="0"/>
        </w:rPr>
      </w:r>
    </w:p>
    <w:p w:rsidR="00000000" w:rsidDel="00000000" w:rsidP="00000000" w:rsidRDefault="00000000" w:rsidRPr="00000000" w14:paraId="000001CE">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11. IEA, "With new export controls on critical minerals, supply concentration risks become reality" -- China is the leading refiner for 19 of 20 strategic minerals, averaging ~70% global market share, rising to ~90% for rare earth separation/refining specifically; Belfer Center, "Critical Minerals Explained" -- China's share of raw extraction for many minerals is only 10-30%, while its refining/processing share reaches 60-90%</w:t>
      </w:r>
      <w:r w:rsidDel="00000000" w:rsidR="00000000" w:rsidRPr="00000000">
        <w:rPr>
          <w:rtl w:val="0"/>
        </w:rPr>
      </w:r>
    </w:p>
    <w:p w:rsidR="00000000" w:rsidDel="00000000" w:rsidP="00000000" w:rsidRDefault="00000000" w:rsidRPr="00000000" w14:paraId="000001CF">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12. PIB, "Illegal mining of beach sand minerals" (primary source) -- Atomic Mineral Concession Rules 2016 (AMCR-2016), notified July 11, 2016, introduced the 0.75% monazite "Threshold Value" concept restricting private mining</w:t>
      </w:r>
      <w:r w:rsidDel="00000000" w:rsidR="00000000" w:rsidRPr="00000000">
        <w:rPr>
          <w:rtl w:val="0"/>
        </w:rPr>
      </w:r>
    </w:p>
    <w:p w:rsidR="00000000" w:rsidDel="00000000" w:rsidP="00000000" w:rsidRDefault="00000000" w:rsidRPr="00000000" w14:paraId="000001D0">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13. Down To Earth, "Environment ministry stops clearance to mining of beach sand minerals," Apr. 15, 2019 -- Ministry of Mines notification dated Feb. 20, 2019 changed the monazite threshold from 0.75% to 0.00%, effectively banning private beach-sand mining nationwide</w:t>
      </w:r>
      <w:r w:rsidDel="00000000" w:rsidR="00000000" w:rsidRPr="00000000">
        <w:rPr>
          <w:rtl w:val="0"/>
        </w:rPr>
      </w:r>
    </w:p>
    <w:p w:rsidR="00000000" w:rsidDel="00000000" w:rsidP="00000000" w:rsidRDefault="00000000" w:rsidRPr="00000000" w14:paraId="000001D1">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14. The Defence Horizon Journal, "India's Strategic Leap In Rare Earths" -- confirms March 2025 policy change ending IREL's 75-year exclusive monopoly by permitting private-sector REE exploration</w:t>
      </w:r>
      <w:r w:rsidDel="00000000" w:rsidR="00000000" w:rsidRPr="00000000">
        <w:rPr>
          <w:rtl w:val="0"/>
        </w:rPr>
      </w:r>
    </w:p>
    <w:p w:rsidR="00000000" w:rsidDel="00000000" w:rsidP="00000000" w:rsidRDefault="00000000" w:rsidRPr="00000000" w14:paraId="000001D2">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15. Business Standard, "India's logistics cost pegged at 7.97% of GDP, says DPIIT report," Sept. 2025 -- the commonly-cited 13-14% figure came from "external studies or partial datasets"; the first rigorous NCAER/DPIIT government assessment (FY2023-24) instead found India's logistics cost is 7.97% of GDP (9.09% of non-services output), comparable to the US (8.8%), Germany (8%) and Australia (8.6%) CORRECTION NEEDED: the 13-14%-of-GDP figure is the older, since-superseded estimate that the Indian government itself now says lacked a rigorous methodology. The 2025 NCAER/DPIIT study -- India's first comprehensive, primary assessment -- puts the real figure at 7.97%, which is now roughly in line with (not far above) the ~8-9% international peer range the draft cites as the "standard." The draft's framing (India at 14% vs. a 9% international norm) overstates the gap using outdated data; recommend citing the 7.97% figure and noting the older 13-14% estimate has been revised down.</w:t>
      </w:r>
      <w:r w:rsidDel="00000000" w:rsidR="00000000" w:rsidRPr="00000000">
        <w:rPr>
          <w:rtl w:val="0"/>
        </w:rPr>
      </w:r>
    </w:p>
    <w:p w:rsidR="00000000" w:rsidDel="00000000" w:rsidP="00000000" w:rsidRDefault="00000000" w:rsidRPr="00000000" w14:paraId="000001D3">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16. Same DPIIT/NCAER logistics assessment (see [15]) and the National Logistics Policy backgrounder (Aakhya Weekly) -- both discuss port and freight-corridor inefficiencies as a persistent driver of India's elevated logistics costs, addressed via PM GatiShakti and Dedicated Freight Corridor investments</w:t>
      </w:r>
      <w:r w:rsidDel="00000000" w:rsidR="00000000" w:rsidRPr="00000000">
        <w:rPr>
          <w:rtl w:val="0"/>
        </w:rPr>
      </w:r>
    </w:p>
    <w:p w:rsidR="00000000" w:rsidDel="00000000" w:rsidP="00000000" w:rsidRDefault="00000000" w:rsidRPr="00000000" w14:paraId="000001D4">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17. Already cited in the draft to Malaysia's Ministry of Science, Technology and Innovation and the Associated Press (March 2026) -- retained here because it anchors the India/Malaysia comparison used throughout the piece and should carry through to any final citation list.</w:t>
      </w:r>
      <w:r w:rsidDel="00000000" w:rsidR="00000000" w:rsidRPr="00000000">
        <w:rPr>
          <w:rtl w:val="0"/>
        </w:rPr>
      </w:r>
    </w:p>
    <w:p w:rsidR="00000000" w:rsidDel="00000000" w:rsidP="00000000" w:rsidRDefault="00000000" w:rsidRPr="00000000" w14:paraId="000001D5">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18. Utkarsh Classes, "National Critical Mineral Mission: Key Details &amp; Objectives" (citing PIB) -- Mission duration is seven years (2024-25 to 2030-31); central government provides Rs.16,300 crore, with PSUs/private companies expected to invest a further Rs.18,000 crore</w:t>
      </w:r>
      <w:r w:rsidDel="00000000" w:rsidR="00000000" w:rsidRPr="00000000">
        <w:rPr>
          <w:rtl w:val="0"/>
        </w:rPr>
      </w:r>
    </w:p>
    <w:p w:rsidR="00000000" w:rsidDel="00000000" w:rsidP="00000000" w:rsidRDefault="00000000" w:rsidRPr="00000000" w14:paraId="000001D6">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19. Press Information Bureau, "India's Rare Earth Strategy: Manufacturing, Corridors, and Global Integration," Feb. 2026 (primary source) -- Union Budget 2026-27 announced Dedicated Rare Earth Corridors in Odisha, Kerala, Andhra Pradesh and Tamil Nadu, focused on mining, processing, research and manufacturing</w:t>
      </w:r>
      <w:r w:rsidDel="00000000" w:rsidR="00000000" w:rsidRPr="00000000">
        <w:rPr>
          <w:rtl w:val="0"/>
        </w:rPr>
      </w:r>
    </w:p>
    <w:p w:rsidR="00000000" w:rsidDel="00000000" w:rsidP="00000000" w:rsidRDefault="00000000" w:rsidRPr="00000000" w14:paraId="000001D7">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20. CSEP, "Union Budget 2025-26: Long Road Ahead for India's Critical Minerals" -- discusses NCMM's targeted financial incentives for exploration and recovery of specific critical minerals including lithium and nickel compounds</w:t>
      </w:r>
      <w:r w:rsidDel="00000000" w:rsidR="00000000" w:rsidRPr="00000000">
        <w:rPr>
          <w:rtl w:val="0"/>
        </w:rPr>
      </w:r>
    </w:p>
    <w:p w:rsidR="00000000" w:rsidDel="00000000" w:rsidP="00000000" w:rsidRDefault="00000000" w:rsidRPr="00000000" w14:paraId="000001D8">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21. Prime Minister's Office of India (PIB), "Cabinet Approves Rs.7,280 Crore Scheme to Promote Manufacturing of Sintered Rare Earth Permanent Magnets (REPM)," Nov. 26, 2025 (primary source) -- Rs.7,280 crore outlay (Rs.6,450cr sales-linked incentives + Rs.750cr capital subsidy) to build 6,000 MTPA of REPM capacity across five beneficiaries</w:t>
      </w:r>
      <w:r w:rsidDel="00000000" w:rsidR="00000000" w:rsidRPr="00000000">
        <w:rPr>
          <w:rtl w:val="0"/>
        </w:rPr>
      </w:r>
    </w:p>
    <w:p w:rsidR="00000000" w:rsidDel="00000000" w:rsidP="00000000" w:rsidRDefault="00000000" w:rsidRPr="00000000" w14:paraId="000001D9">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22. PIB, "India's Rare Earth Strategy: Manufacturing, Corridors, and Global Integration," Feb. 2026 (primary source) -- confirms the four Dedicated Rare Earth Corridor states directly overlap with the coastal monazite belt (also spanning West Bengal, Gujarat, Maharashtra and Jharkhand for monazite specifically)</w:t>
      </w:r>
      <w:r w:rsidDel="00000000" w:rsidR="00000000" w:rsidRPr="00000000">
        <w:rPr>
          <w:rtl w:val="0"/>
        </w:rPr>
      </w:r>
    </w:p>
    <w:p w:rsidR="00000000" w:rsidDel="00000000" w:rsidP="00000000" w:rsidRDefault="00000000" w:rsidRPr="00000000" w14:paraId="000001DA">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23. Wikipedia (sourced to IREL corporate filings), "IREL (India)" -- IREL's Manavalakurichi and Chavara mineral separation plants extract ilmenite, zircon, rutile, monazite and sillimanite; PIB, Feb. 2026 -- IREL processing capacity of 10 lakh (1 million) tonnes annually across its Odisha and Kerala operations</w:t>
      </w:r>
      <w:r w:rsidDel="00000000" w:rsidR="00000000" w:rsidRPr="00000000">
        <w:rPr>
          <w:rtl w:val="0"/>
        </w:rPr>
      </w:r>
    </w:p>
    <w:p w:rsidR="00000000" w:rsidDel="00000000" w:rsidP="00000000" w:rsidRDefault="00000000" w:rsidRPr="00000000" w14:paraId="000001DB">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24. Already cited in the draft to Mongabay India, September 2025 -- retained here for completeness since it directly supports the surrounding "steps toward liberalization" argument.</w:t>
      </w:r>
      <w:r w:rsidDel="00000000" w:rsidR="00000000" w:rsidRPr="00000000">
        <w:rPr>
          <w:rtl w:val="0"/>
        </w:rPr>
      </w:r>
    </w:p>
    <w:p w:rsidR="00000000" w:rsidDel="00000000" w:rsidP="00000000" w:rsidRDefault="00000000" w:rsidRPr="00000000" w14:paraId="000001DC">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25. ICSF, "Can Andhra Pradesh's rare earth corridor fuel India's clean-energy dreams?" -- confirms IREL is establishing a 10,000-tonne-per-annum monazite processing plant at Gudur, Nellore district, scheduled for commissioning in 2026; IMPRI, "Andhra Pradesh's Rare Earth Strategy, 2025" -- corroborates the same figures and timeline</w:t>
      </w:r>
      <w:r w:rsidDel="00000000" w:rsidR="00000000" w:rsidRPr="00000000">
        <w:rPr>
          <w:rtl w:val="0"/>
        </w:rPr>
      </w:r>
    </w:p>
    <w:p w:rsidR="00000000" w:rsidDel="00000000" w:rsidP="00000000" w:rsidRDefault="00000000" w:rsidRPr="00000000" w14:paraId="000001DD">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26. Cross-referenced with the AP/MOSTI citation already in the draft ([17] above) -- a ten-year license renewal issued in March 2026 is consistent with an expiry around 2036; the 2012 startup date for Lynas's Pahang (Malaysia) plant is well-established industry knowledge but should be pinned to a specific Lynas Corporation or MOSTI source for the final citation list rather than left as background knowledge.</w:t>
      </w:r>
      <w:r w:rsidDel="00000000" w:rsidR="00000000" w:rsidRPr="00000000">
        <w:rPr>
          <w:rtl w:val="0"/>
        </w:rPr>
      </w:r>
    </w:p>
    <w:p w:rsidR="00000000" w:rsidDel="00000000" w:rsidP="00000000" w:rsidRDefault="00000000" w:rsidRPr="00000000" w14:paraId="000001DE">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27. PIB (Lok Sabha reply), July 23, 2025 (primary source) -- confirms the eight-state geographic spread of India's monazite deposits, plus a further 1.29 million tonnes of hard-rock REO resource in Gujarat and Rajasthan</w:t>
      </w:r>
      <w:r w:rsidDel="00000000" w:rsidR="00000000" w:rsidRPr="00000000">
        <w:rPr>
          <w:rtl w:val="0"/>
        </w:rPr>
      </w:r>
    </w:p>
    <w:p w:rsidR="00000000" w:rsidDel="00000000" w:rsidP="00000000" w:rsidRDefault="00000000" w:rsidRPr="00000000" w14:paraId="000001DF">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28. Business Standard, "Monazite reserves pegged at 13.15 mn tonnes across 8 states: Reddy," Feb. 2026 -- Union Minister G. Kishan Reddy: India has "adequate rare-earth resources and capabilities for extraction and refining," but "commercial mining and processing... have been limited due to lack of adequate technology, absence of mid-stream and downstream industries"</w:t>
      </w:r>
      <w:r w:rsidDel="00000000" w:rsidR="00000000" w:rsidRPr="00000000">
        <w:rPr>
          <w:rtl w:val="0"/>
        </w:rPr>
      </w:r>
    </w:p>
    <w:p w:rsidR="00000000" w:rsidDel="00000000" w:rsidP="00000000" w:rsidRDefault="00000000" w:rsidRPr="00000000" w14:paraId="000001E0">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29. CSEP, "Union Budget 2025-26: Long Road Ahead for India's Critical Minerals" -- notes the NCMM's scope covers Ministry of Mines-administered minerals and does not extend to DAE-controlled atomic minerals such as monazite, corroborating the jurisdictional split central to the brief's argument</w:t>
      </w:r>
      <w:r w:rsidDel="00000000" w:rsidR="00000000" w:rsidRPr="00000000">
        <w:rPr>
          <w:rtl w:val="0"/>
        </w:rPr>
      </w:r>
    </w:p>
    <w:p w:rsidR="00000000" w:rsidDel="00000000" w:rsidP="00000000" w:rsidRDefault="00000000" w:rsidRPr="00000000" w14:paraId="000001E1">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30. IEA, Global Critical Minerals Outlook (cited via multiple 2025-26 secondary sources) -- China refines ~90% of REEs and is the leading refiner for 19 of 20 strategic minerals; Belfer Center, "Critical Minerals Explained" -- corroborates China's ~70-90% average refining share</w:t>
      </w:r>
      <w:r w:rsidDel="00000000" w:rsidR="00000000" w:rsidRPr="00000000">
        <w:rPr>
          <w:rtl w:val="0"/>
        </w:rPr>
      </w:r>
    </w:p>
    <w:p w:rsidR="00000000" w:rsidDel="00000000" w:rsidP="00000000" w:rsidRDefault="00000000" w:rsidRPr="00000000" w14:paraId="000001E2">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31. IEEFA, "India needs to diversify its critical mineral sourcing strategy," Oct. 2024 -- confirms 100% import dependency for lithium, cobalt and nickel, and heavy two-country concentration (Japan/Belgium) for copper cathodes and nickel sulphates Summary of corrections/flags needing attention 1. [15] The "14% vs. 9%" logistics-cost comparison uses an outdated, government-disavowed estimate. India's own 2025 NCAER/DPIIT assessment puts the real figure at 7.97% of GDP -- already close to the ~8-9% range cited as the "international standard." This meaningfully changes the rhetorical force of the sentence and should be corrected. 2. [10] "Titanite" as a second radioactive mineral alongside monazite could not be corroborated -- sourcing consistently discusses monazite's own thorium content but not titanite in this regulatory context. Worth double-checking against the intended term (possibly ilmenite/rutile, which co-occur with monazite in beach sands but are not independently radioactive). 3. [11] The specific "80-90% of value" figure for the processing stage could not be found verbatim in any source reviewed; strong directional support exists (China's processing/refining share is 60-90%+ across most critical minerals versus a much lower extraction share), but the precise value-share statistic should be pinned to an original source (e.g., a World Bank or McKinsey study) or rephrased to cite the processing-concentration data directly. 4. [6] India's aluminium output share is more precisely 5.3% of global output per the source reviewed, not quite "roughly 6%" -- minor rounding, but worth tightening. 5. [8] Worth strengthening: as of mid-2024, two separate government auctions for J&amp;K lithium mining rights failed to attract qualified bidders, which is a concrete, citable data point for the "lack the critical infrastructure to process" claim. </w:t>
      </w:r>
      <w:r w:rsidDel="00000000" w:rsidR="00000000" w:rsidRPr="00000000">
        <w:rPr>
          <w:rFonts w:ascii="Times New Roman" w:cs="Times New Roman" w:eastAsia="Times New Roman" w:hAnsi="Times New Roman"/>
          <w:b w:val="0"/>
          <w:bCs w:val="0"/>
          <w:i w:val="1"/>
          <w:iCs w:val="1"/>
          <w:sz w:val="22"/>
          <w:szCs w:val="22"/>
          <w:rtl w:val="0"/>
        </w:rPr>
        <w:t xml:space="preserve">Notes 27, 28, and 30 correspond to claims (on monazite's specific coastal geology, India's global processing-capability ranking, and China's exact rare earth market share) intended for a fuller version of this brief and not yet reflected in the text above; they are retained here for when that expansion is incorporated.</w:t>
      </w:r>
      <w:r w:rsidDel="00000000" w:rsidR="00000000" w:rsidRPr="00000000">
        <w:rPr>
          <w:rtl w:val="0"/>
        </w:rPr>
      </w:r>
    </w:p>
    <w:p w:rsidR="00000000" w:rsidDel="00000000" w:rsidP="00000000" w:rsidRDefault="00000000" w:rsidRPr="00000000" w14:paraId="000001E3">
      <w:pPr>
        <w:pStyle w:val="Heading2"/>
        <w:rPr/>
      </w:pPr>
      <w:r w:rsidDel="00000000" w:rsidR="00000000" w:rsidRPr="00000000">
        <w:rPr>
          <w:rFonts w:ascii="Times New Roman" w:cs="Times New Roman" w:eastAsia="Times New Roman" w:hAnsi="Times New Roman"/>
          <w:b w:val="1"/>
          <w:bCs w:val="1"/>
          <w:i w:val="0"/>
          <w:iCs w:val="0"/>
          <w:sz w:val="24"/>
          <w:szCs w:val="24"/>
          <w:rtl w:val="0"/>
        </w:rPr>
        <w:t xml:space="preserve">References — Putting a Price on Legitimacy: Private Security Companies, Critical Minerals, and China</w:t>
      </w:r>
      <w:r w:rsidDel="00000000" w:rsidR="00000000" w:rsidRPr="00000000">
        <w:rPr>
          <w:rtl w:val="0"/>
        </w:rPr>
      </w:r>
    </w:p>
    <w:p w:rsidR="00000000" w:rsidDel="00000000" w:rsidP="00000000" w:rsidRDefault="00000000" w:rsidRPr="00000000" w14:paraId="000001E4">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Calabrese, J. (2026, June 15). China's Private Security Companies in the Middle East: Commercial Actors, Strategic Tools. Modern Diplomacy. Ersozoglu, E. (2021, April 16). The Rise of Chinese Military Contractors in Africa. Grey Dynamics. Fabbri, V. (2022, June 12). Chinese Private Security Companies in Africa: A Tool of Interference. Geopolitica.info. Fisher et al. (2018, May 4). A Warrior Goes to China: Did Erik Prince Cross a Line? The Washington Post. Frontier Services Group. (2026, April). Retrieved from https://www1.hkexnews.hk/listedco/listconews/sehk/2026/0430/2026043003492.pdf Gibson, L. G. (2020, April 14). Is Balochistan Interfering with Chinese Non-Interference? Modern Diplomacy. Jiabao, W. (2009, October 13). Regulation on the Administration of Security and Guarding Services, Art. 10. Manohar Parrikar Institute for Defence Studies and Analyses. (2025, April 9). China's Private Security Personnel in Pakistan: Implications for Regional Stability. Martina, M. (2017, May 30). Blackwater Founder's FSG Buys Stake in Chinese Security School. Reuters. Nantulya, P. (2020, October 8). Chinese Security Contractors in Africa. Carnegie Endowment for International Peace. Paredes, N. (2024, January 19). Balochistan, the Remote "Lawless" Land That Has Become the Focus of Tensions Between Pakistan and Iran. BBC News Mundo. Suadoni, L. (2025, November 30). The Discreet Rise of Chinese Private Security Companies: Implications for Africa. Atlas Institute for International Affairs. Sukhankin, S. (2023, November 20). Chinese PSCs: Achievements, Prospects, and Future Endeavors. Jamestown. Virginski, A. (2026, March 19). How China's PMSCs Are Rewriting Global Security. Geopolitical Monitor. White, E. (2026, July 26). China Pours Funding into Green Energy Deals as Iran War Hits Oil Demand. Financial Times. Council on Foreign Relations. (n.d.). China's Massive Belt and Road Initiative. Congressional Research Service. (n.d.). China's One Belt, One Road Initiative: Economic Issues. Congress.gov. Jamestown Foundation. (2025). Amid Geopolitical Tensions, Baloch Militant Attacks Undermine Sino-Pakistan Projects. Lowy Institute. (n.d.). Pakistani Separatists Turn Their Sights on China. RFE/RL. (2023, August). Militant Attack in Pakistan's Balochistan Targets Chinese Engineers. SIPRI. (2014). Protecting China's Overseas Interests: The Slow Shift Away from Non-Interference. Stimson Center. (n.d.). Conflict Mediation with Chinese Characteristics: How China Justifies Its Non-Interference Policy. The Nation. (2015, June 29). Blackwater: One of the Pentagon's Top Contractors for Afghanistan Training.</w:t>
      </w:r>
      <w:r w:rsidDel="00000000" w:rsidR="00000000" w:rsidRPr="00000000">
        <w:rPr>
          <w:rtl w:val="0"/>
        </w:rPr>
      </w:r>
    </w:p>
    <w:p w:rsidR="00000000" w:rsidDel="00000000" w:rsidP="00000000" w:rsidRDefault="00000000" w:rsidRPr="00000000" w14:paraId="000001E5">
      <w:pPr>
        <w:pStyle w:val="Heading2"/>
        <w:rPr/>
      </w:pPr>
      <w:r w:rsidDel="00000000" w:rsidR="00000000" w:rsidRPr="00000000">
        <w:rPr>
          <w:rFonts w:ascii="Times New Roman" w:cs="Times New Roman" w:eastAsia="Times New Roman" w:hAnsi="Times New Roman"/>
          <w:b w:val="1"/>
          <w:bCs w:val="1"/>
          <w:i w:val="0"/>
          <w:iCs w:val="0"/>
          <w:sz w:val="24"/>
          <w:szCs w:val="24"/>
          <w:rtl w:val="0"/>
        </w:rPr>
        <w:t xml:space="preserve">Notes — Pearl Divers No Longer: China's Civil-Military Fusion in Critical Mineral Deep-Sea Extraction</w:t>
      </w:r>
      <w:r w:rsidDel="00000000" w:rsidR="00000000" w:rsidRPr="00000000">
        <w:rPr>
          <w:rtl w:val="0"/>
        </w:rPr>
      </w:r>
    </w:p>
    <w:p w:rsidR="00000000" w:rsidDel="00000000" w:rsidP="00000000" w:rsidRDefault="00000000" w:rsidRPr="00000000" w14:paraId="000001E6">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1. U.S. Congressional Research Service, Seabed Mining for Critical Minerals on the U.S. Outer Continental Shelf: Issues for Congress, R48302 (Washington, DC: Library of Congress, updated 2026).</w:t>
      </w:r>
      <w:r w:rsidDel="00000000" w:rsidR="00000000" w:rsidRPr="00000000">
        <w:rPr>
          <w:rtl w:val="0"/>
        </w:rPr>
      </w:r>
    </w:p>
    <w:p w:rsidR="00000000" w:rsidDel="00000000" w:rsidP="00000000" w:rsidRDefault="00000000" w:rsidRPr="00000000" w14:paraId="000001E7">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2. U.S. Congressional Research Service, Seabed Mining for Critical Minerals on the U.S. Outer Continental Shelf: Issues for Congress, R48302, updated July 2, 2026.</w:t>
      </w:r>
      <w:r w:rsidDel="00000000" w:rsidR="00000000" w:rsidRPr="00000000">
        <w:rPr>
          <w:rtl w:val="0"/>
        </w:rPr>
      </w:r>
    </w:p>
    <w:p w:rsidR="00000000" w:rsidDel="00000000" w:rsidP="00000000" w:rsidRDefault="00000000" w:rsidRPr="00000000" w14:paraId="000001E8">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3. National Maritime Foundation (India), "China's Survey and Research Vessel (CSRV) Fleet and Associated Research Institutes: Part II – China Ocean Mineral Resources R&amp;D Association," March 2026.</w:t>
      </w:r>
      <w:r w:rsidDel="00000000" w:rsidR="00000000" w:rsidRPr="00000000">
        <w:rPr>
          <w:rtl w:val="0"/>
        </w:rPr>
      </w:r>
    </w:p>
    <w:p w:rsidR="00000000" w:rsidDel="00000000" w:rsidP="00000000" w:rsidRDefault="00000000" w:rsidRPr="00000000" w14:paraId="000001E9">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4. International Seabed Authority, "China Ocean Mineral Resources Research and Development Association (COMRA)," Contractor Profile.</w:t>
      </w:r>
      <w:r w:rsidDel="00000000" w:rsidR="00000000" w:rsidRPr="00000000">
        <w:rPr>
          <w:rtl w:val="0"/>
        </w:rPr>
      </w:r>
    </w:p>
    <w:p w:rsidR="00000000" w:rsidDel="00000000" w:rsidP="00000000" w:rsidRDefault="00000000" w:rsidRPr="00000000" w14:paraId="000001EA">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5. Ryan Fedasiuk, "Leviathan Wakes: China's Growing Fleet of Autonomous Undersea Vehicles," CIMSEC, August 27, 2021; Mongabay/CNN/Pulitzer Center, "China's Deep-Sea Mining Fleet May Also Track U.S. Submarines," 2026.</w:t>
      </w:r>
      <w:r w:rsidDel="00000000" w:rsidR="00000000" w:rsidRPr="00000000">
        <w:rPr>
          <w:rtl w:val="0"/>
        </w:rPr>
      </w:r>
    </w:p>
    <w:p w:rsidR="00000000" w:rsidDel="00000000" w:rsidP="00000000" w:rsidRDefault="00000000" w:rsidRPr="00000000" w14:paraId="000001EB">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6. Executive Office of the President, Federal Register 90 (2025); CSIS, "China's New Rare Earth and Magnet Restrictions Threaten U.S. Defense Supply Chains," October 14, 2025; CSET, "Ministry of Commerce Notice 2025 No. 61," November 2025.</w:t>
      </w:r>
      <w:r w:rsidDel="00000000" w:rsidR="00000000" w:rsidRPr="00000000">
        <w:rPr>
          <w:rtl w:val="0"/>
        </w:rPr>
      </w:r>
    </w:p>
    <w:p w:rsidR="00000000" w:rsidDel="00000000" w:rsidP="00000000" w:rsidRDefault="00000000" w:rsidRPr="00000000" w14:paraId="000001EC">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7. USGS, "One Hundred Years of Cobalt Production in the Democratic Republic of the Congo," 2022; USGS, Mineral Commodity Summaries 2026: Cobalt; Regulation (EU) 2024/1252; USGS, Mineral Commodity Summaries 2026: Lithium.</w:t>
      </w:r>
      <w:r w:rsidDel="00000000" w:rsidR="00000000" w:rsidRPr="00000000">
        <w:rPr>
          <w:rtl w:val="0"/>
        </w:rPr>
      </w:r>
    </w:p>
    <w:p w:rsidR="00000000" w:rsidDel="00000000" w:rsidP="00000000" w:rsidRDefault="00000000" w:rsidRPr="00000000" w14:paraId="000001ED">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8. U.S. Department of State, "Announcement of U.S. Extended Continental Shelf Outer Limits," December 19, 2023.</w:t>
      </w:r>
      <w:r w:rsidDel="00000000" w:rsidR="00000000" w:rsidRPr="00000000">
        <w:rPr>
          <w:rtl w:val="0"/>
        </w:rPr>
      </w:r>
    </w:p>
    <w:p w:rsidR="00000000" w:rsidDel="00000000" w:rsidP="00000000" w:rsidRDefault="00000000" w:rsidRPr="00000000" w14:paraId="000001EE">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9. Ted L. McDorman and David A. Colson, "The Continental Shelf Beyond 200 Nautical Miles: Announcement of the U.S. Outer Limits," American Journal of International Law 118, no. 2 (April 2024): 275–298.</w:t>
      </w:r>
      <w:r w:rsidDel="00000000" w:rsidR="00000000" w:rsidRPr="00000000">
        <w:rPr>
          <w:rtl w:val="0"/>
        </w:rPr>
      </w:r>
    </w:p>
    <w:p w:rsidR="00000000" w:rsidDel="00000000" w:rsidP="00000000" w:rsidRDefault="00000000" w:rsidRPr="00000000" w14:paraId="000001EF">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10. U.S. Congressional Research Service, updated June 22, 2026; Fjodor van Slooten, "Extended Continental Shelf of the United States," EJIL: Talk!, January 17, 2024.</w:t>
      </w:r>
      <w:r w:rsidDel="00000000" w:rsidR="00000000" w:rsidRPr="00000000">
        <w:rPr>
          <w:rtl w:val="0"/>
        </w:rPr>
      </w:r>
    </w:p>
    <w:p w:rsidR="00000000" w:rsidDel="00000000" w:rsidP="00000000" w:rsidRDefault="00000000" w:rsidRPr="00000000" w14:paraId="000001F0">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11. Bureau of Ocean Energy Management, Federal Register 91, no. 19 (January 29, 2026): 3923–3927, Docket No. BOEM-2025-0318.</w:t>
      </w:r>
      <w:r w:rsidDel="00000000" w:rsidR="00000000" w:rsidRPr="00000000">
        <w:rPr>
          <w:rtl w:val="0"/>
        </w:rPr>
      </w:r>
    </w:p>
    <w:p w:rsidR="00000000" w:rsidDel="00000000" w:rsidP="00000000" w:rsidRDefault="00000000" w:rsidRPr="00000000" w14:paraId="000001F1">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12. McDorman and Colson (see full citation above), on overlapping CLCS submissions by Russia, Canada, and Denmark.</w:t>
      </w:r>
      <w:r w:rsidDel="00000000" w:rsidR="00000000" w:rsidRPr="00000000">
        <w:rPr>
          <w:rtl w:val="0"/>
        </w:rPr>
      </w:r>
    </w:p>
    <w:p w:rsidR="00000000" w:rsidDel="00000000" w:rsidP="00000000" w:rsidRDefault="00000000" w:rsidRPr="00000000" w14:paraId="000001F2">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13. U.S. Department of State, "Announcement of U.S. Extended Continental Shelf Outer Limits," December 19, 2023.</w:t>
      </w:r>
      <w:r w:rsidDel="00000000" w:rsidR="00000000" w:rsidRPr="00000000">
        <w:rPr>
          <w:rtl w:val="0"/>
        </w:rPr>
      </w:r>
    </w:p>
    <w:p w:rsidR="00000000" w:rsidDel="00000000" w:rsidP="00000000" w:rsidRDefault="00000000" w:rsidRPr="00000000" w14:paraId="000001F3">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14. Arctic Ocean Conference, Ilulissat Declaration, May 28, 2008; SWP Comment 2008/C 18, July 15, 2008; Marine Policy (2020).</w:t>
      </w:r>
      <w:r w:rsidDel="00000000" w:rsidR="00000000" w:rsidRPr="00000000">
        <w:rPr>
          <w:rtl w:val="0"/>
        </w:rPr>
      </w:r>
    </w:p>
    <w:p w:rsidR="00000000" w:rsidDel="00000000" w:rsidP="00000000" w:rsidRDefault="00000000" w:rsidRPr="00000000" w14:paraId="000001F4">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15. Scott G. Borgerson, "Arctic Meltdown," Foreign Affairs 87, no. 2 (2008), discussed at UNCLOSdebate.org.</w:t>
      </w:r>
      <w:r w:rsidDel="00000000" w:rsidR="00000000" w:rsidRPr="00000000">
        <w:rPr>
          <w:rtl w:val="0"/>
        </w:rPr>
      </w:r>
    </w:p>
    <w:p w:rsidR="00000000" w:rsidDel="00000000" w:rsidP="00000000" w:rsidRDefault="00000000" w:rsidRPr="00000000" w14:paraId="000001F5">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16. Fjodor van Slooten (see full citation above).</w:t>
      </w:r>
      <w:r w:rsidDel="00000000" w:rsidR="00000000" w:rsidRPr="00000000">
        <w:rPr>
          <w:rtl w:val="0"/>
        </w:rPr>
      </w:r>
    </w:p>
    <w:p w:rsidR="00000000" w:rsidDel="00000000" w:rsidP="00000000" w:rsidRDefault="00000000" w:rsidRPr="00000000" w14:paraId="000001F6">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17. Permanent Court of Arbitration, Dispute Concerning Coastal State Rights in the Black Sea, Sea of Azov, and Kerch Strait (Ukraine v. Russian Federation), PCA Case No. 2017-06, Award of April 22, 2026.</w:t>
      </w:r>
      <w:r w:rsidDel="00000000" w:rsidR="00000000" w:rsidRPr="00000000">
        <w:rPr>
          <w:rtl w:val="0"/>
        </w:rPr>
      </w:r>
    </w:p>
    <w:p w:rsidR="00000000" w:rsidDel="00000000" w:rsidP="00000000" w:rsidRDefault="00000000" w:rsidRPr="00000000" w14:paraId="000001F7">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18. Ministry of Foreign Affairs of the Russian Federation, Press Release No. 544-25-03-2024, March 25, 2024; Lexology, May 2024.</w:t>
      </w:r>
      <w:r w:rsidDel="00000000" w:rsidR="00000000" w:rsidRPr="00000000">
        <w:rPr>
          <w:rtl w:val="0"/>
        </w:rPr>
      </w:r>
    </w:p>
    <w:p w:rsidR="00000000" w:rsidDel="00000000" w:rsidP="00000000" w:rsidRDefault="00000000" w:rsidRPr="00000000" w14:paraId="000001F8">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19. Gautama Mehta, "The International Seabed Authority's War with Itself," Grist, August 15, 2025.</w:t>
      </w:r>
      <w:r w:rsidDel="00000000" w:rsidR="00000000" w:rsidRPr="00000000">
        <w:rPr>
          <w:rtl w:val="0"/>
        </w:rPr>
      </w:r>
    </w:p>
    <w:p w:rsidR="00000000" w:rsidDel="00000000" w:rsidP="00000000" w:rsidRDefault="00000000" w:rsidRPr="00000000" w14:paraId="000001F9">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20. International Seabed Authority, "Q&amp;A on the ISA," updated 2025; ISA, "Exploration Contracts," updated 2026.</w:t>
      </w:r>
      <w:r w:rsidDel="00000000" w:rsidR="00000000" w:rsidRPr="00000000">
        <w:rPr>
          <w:rtl w:val="0"/>
        </w:rPr>
      </w:r>
    </w:p>
    <w:p w:rsidR="00000000" w:rsidDel="00000000" w:rsidP="00000000" w:rsidRDefault="00000000" w:rsidRPr="00000000" w14:paraId="000001FA">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21. Felix Richter, "Where ISA Contractors for Deep-Sea Mining Are Based," Statista.</w:t>
      </w:r>
      <w:r w:rsidDel="00000000" w:rsidR="00000000" w:rsidRPr="00000000">
        <w:rPr>
          <w:rtl w:val="0"/>
        </w:rPr>
      </w:r>
    </w:p>
    <w:p w:rsidR="00000000" w:rsidDel="00000000" w:rsidP="00000000" w:rsidRDefault="00000000" w:rsidRPr="00000000" w14:paraId="000001FB">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22. Documented Bering Sea/Aleutians encounters, 2020–2024; U.S. Coast Guard press releases, July 10 and October 1, 2024.</w:t>
      </w:r>
      <w:r w:rsidDel="00000000" w:rsidR="00000000" w:rsidRPr="00000000">
        <w:rPr>
          <w:rtl w:val="0"/>
        </w:rPr>
      </w:r>
    </w:p>
    <w:p w:rsidR="00000000" w:rsidDel="00000000" w:rsidP="00000000" w:rsidRDefault="00000000" w:rsidRPr="00000000" w14:paraId="000001FC">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23. U.S. Coast Guard, press release, October 1, 2024.</w:t>
      </w:r>
      <w:r w:rsidDel="00000000" w:rsidR="00000000" w:rsidRPr="00000000">
        <w:rPr>
          <w:rtl w:val="0"/>
        </w:rPr>
      </w:r>
    </w:p>
    <w:p w:rsidR="00000000" w:rsidDel="00000000" w:rsidP="00000000" w:rsidRDefault="00000000" w:rsidRPr="00000000" w14:paraId="000001FD">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24. U.S. Coast Guard press release, October 1, 2024, quoting Rear Adm. Megan Dean.</w:t>
      </w:r>
      <w:r w:rsidDel="00000000" w:rsidR="00000000" w:rsidRPr="00000000">
        <w:rPr>
          <w:rtl w:val="0"/>
        </w:rPr>
      </w:r>
    </w:p>
    <w:p w:rsidR="00000000" w:rsidDel="00000000" w:rsidP="00000000" w:rsidRDefault="00000000" w:rsidRPr="00000000" w14:paraId="000001FE">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25. The Maritime Executive, October 1, 2024; Alaska Beacon, July 16, 2024.</w:t>
      </w:r>
      <w:r w:rsidDel="00000000" w:rsidR="00000000" w:rsidRPr="00000000">
        <w:rPr>
          <w:rtl w:val="0"/>
        </w:rPr>
      </w:r>
    </w:p>
    <w:p w:rsidR="00000000" w:rsidDel="00000000" w:rsidP="00000000" w:rsidRDefault="00000000" w:rsidRPr="00000000" w14:paraId="000001FF">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26. CSIS ChinaPower Project, updated 2023; Atlantic Council, October 24, 2022; RIETI, January 13, 2021.</w:t>
      </w:r>
      <w:r w:rsidDel="00000000" w:rsidR="00000000" w:rsidRPr="00000000">
        <w:rPr>
          <w:rtl w:val="0"/>
        </w:rPr>
      </w:r>
    </w:p>
    <w:p w:rsidR="00000000" w:rsidDel="00000000" w:rsidP="00000000" w:rsidRDefault="00000000" w:rsidRPr="00000000" w14:paraId="00000200">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27. Elizabeth Claire Alberts and Kara Fox, Mongabay and CNN investigation, March 2026.</w:t>
      </w:r>
      <w:r w:rsidDel="00000000" w:rsidR="00000000" w:rsidRPr="00000000">
        <w:rPr>
          <w:rtl w:val="0"/>
        </w:rPr>
      </w:r>
    </w:p>
    <w:p w:rsidR="00000000" w:rsidDel="00000000" w:rsidP="00000000" w:rsidRDefault="00000000" w:rsidRPr="00000000" w14:paraId="00000201">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28. U.S. Department of State, "The Chinese Communist Party's Military-Civil Fusion Policy," 2017–2021 Archive; CSIS, "China's Evolving Conception of Civil-Military Collaboration."</w:t>
      </w:r>
      <w:r w:rsidDel="00000000" w:rsidR="00000000" w:rsidRPr="00000000">
        <w:rPr>
          <w:rtl w:val="0"/>
        </w:rPr>
      </w:r>
    </w:p>
    <w:p w:rsidR="00000000" w:rsidDel="00000000" w:rsidP="00000000" w:rsidRDefault="00000000" w:rsidRPr="00000000" w14:paraId="00000202">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29. Emil Petruncio, "The Transparent Ocean," USNI Proceedings, March 2026; Australian Naval Institute, "China's Underwater Electronic Net."</w:t>
      </w:r>
      <w:r w:rsidDel="00000000" w:rsidR="00000000" w:rsidRPr="00000000">
        <w:rPr>
          <w:rtl w:val="0"/>
        </w:rPr>
      </w:r>
    </w:p>
    <w:p w:rsidR="00000000" w:rsidDel="00000000" w:rsidP="00000000" w:rsidRDefault="00000000" w:rsidRPr="00000000" w14:paraId="00000203">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30. Far North Fiber Inc.; The Arctic Institute; National Defense Magazine, September 29, 2023.</w:t>
      </w:r>
      <w:r w:rsidDel="00000000" w:rsidR="00000000" w:rsidRPr="00000000">
        <w:rPr>
          <w:rtl w:val="0"/>
        </w:rPr>
      </w:r>
    </w:p>
    <w:p w:rsidR="00000000" w:rsidDel="00000000" w:rsidP="00000000" w:rsidRDefault="00000000" w:rsidRPr="00000000" w14:paraId="00000204">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31. U.S. Coast Guard, press release, August 19, 2025.</w:t>
      </w:r>
      <w:r w:rsidDel="00000000" w:rsidR="00000000" w:rsidRPr="00000000">
        <w:rPr>
          <w:rtl w:val="0"/>
        </w:rPr>
      </w:r>
    </w:p>
    <w:p w:rsidR="00000000" w:rsidDel="00000000" w:rsidP="00000000" w:rsidRDefault="00000000" w:rsidRPr="00000000" w14:paraId="00000205">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32. Vision Times, May 1, 2026; Pete McKenzie, Reuters/U.S. News, March 24, 2026.</w:t>
      </w:r>
      <w:r w:rsidDel="00000000" w:rsidR="00000000" w:rsidRPr="00000000">
        <w:rPr>
          <w:rtl w:val="0"/>
        </w:rPr>
      </w:r>
    </w:p>
    <w:p w:rsidR="00000000" w:rsidDel="00000000" w:rsidP="00000000" w:rsidRDefault="00000000" w:rsidRPr="00000000" w14:paraId="00000206">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33. CNN, March 2026; Modern Diplomacy, March 24, 2026.</w:t>
      </w:r>
      <w:r w:rsidDel="00000000" w:rsidR="00000000" w:rsidRPr="00000000">
        <w:rPr>
          <w:rtl w:val="0"/>
        </w:rPr>
      </w:r>
    </w:p>
    <w:p w:rsidR="00000000" w:rsidDel="00000000" w:rsidP="00000000" w:rsidRDefault="00000000" w:rsidRPr="00000000" w14:paraId="00000207">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34. Radio Free Asia, April 2026, citing a March 13, 2026 BOEM memo.</w:t>
      </w:r>
      <w:r w:rsidDel="00000000" w:rsidR="00000000" w:rsidRPr="00000000">
        <w:rPr>
          <w:rtl w:val="0"/>
        </w:rPr>
      </w:r>
    </w:p>
    <w:p w:rsidR="00000000" w:rsidDel="00000000" w:rsidP="00000000" w:rsidRDefault="00000000" w:rsidRPr="00000000" w14:paraId="00000208">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35. U.S. Pacific Fleet, press release, July 29, 2026; USNI News, November 27, 2024.</w:t>
      </w:r>
      <w:r w:rsidDel="00000000" w:rsidR="00000000" w:rsidRPr="00000000">
        <w:rPr>
          <w:rtl w:val="0"/>
        </w:rPr>
      </w:r>
    </w:p>
    <w:p w:rsidR="00000000" w:rsidDel="00000000" w:rsidP="00000000" w:rsidRDefault="00000000" w:rsidRPr="00000000" w14:paraId="00000209">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36. The Insider, May 21, 2026.</w:t>
      </w:r>
      <w:r w:rsidDel="00000000" w:rsidR="00000000" w:rsidRPr="00000000">
        <w:rPr>
          <w:rtl w:val="0"/>
        </w:rPr>
      </w:r>
    </w:p>
    <w:p w:rsidR="00000000" w:rsidDel="00000000" w:rsidP="00000000" w:rsidRDefault="00000000" w:rsidRPr="00000000" w14:paraId="0000020A">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37. ArcticToday, December 12, 2025; European Council on Foreign Relations, February 4, 2026.</w:t>
      </w:r>
      <w:r w:rsidDel="00000000" w:rsidR="00000000" w:rsidRPr="00000000">
        <w:rPr>
          <w:rtl w:val="0"/>
        </w:rPr>
      </w:r>
    </w:p>
    <w:p w:rsidR="00000000" w:rsidDel="00000000" w:rsidP="00000000" w:rsidRDefault="00000000" w:rsidRPr="00000000" w14:paraId="0000020B">
      <w:pPr>
        <w:pStyle w:val="Heading2"/>
        <w:rPr/>
      </w:pPr>
      <w:r w:rsidDel="00000000" w:rsidR="00000000" w:rsidRPr="00000000">
        <w:rPr>
          <w:rFonts w:ascii="Times New Roman" w:cs="Times New Roman" w:eastAsia="Times New Roman" w:hAnsi="Times New Roman"/>
          <w:b w:val="1"/>
          <w:bCs w:val="1"/>
          <w:i w:val="0"/>
          <w:iCs w:val="0"/>
          <w:sz w:val="24"/>
          <w:szCs w:val="24"/>
          <w:rtl w:val="0"/>
        </w:rPr>
        <w:t xml:space="preserve">Notes — The Sanctions and the System: Chinese Firms and US Responses</w:t>
      </w:r>
      <w:r w:rsidDel="00000000" w:rsidR="00000000" w:rsidRPr="00000000">
        <w:rPr>
          <w:rtl w:val="0"/>
        </w:rPr>
      </w:r>
    </w:p>
    <w:p w:rsidR="00000000" w:rsidDel="00000000" w:rsidP="00000000" w:rsidRDefault="00000000" w:rsidRPr="00000000" w14:paraId="0000020C">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1. Mayer Brown, "Mayer Brown Appointed by the Government of the Democratic Republic of the Congo on the Sicomines Project Audit," news release, March 9, 2026.</w:t>
      </w:r>
      <w:r w:rsidDel="00000000" w:rsidR="00000000" w:rsidRPr="00000000">
        <w:rPr>
          <w:rtl w:val="0"/>
        </w:rPr>
      </w:r>
    </w:p>
    <w:p w:rsidR="00000000" w:rsidDel="00000000" w:rsidP="00000000" w:rsidRDefault="00000000" w:rsidRPr="00000000" w14:paraId="0000020D">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2. "DRC Launches Audit to Review Implementation of China-Backed Sicomines Project," BANKABLE, March 9, 2026.</w:t>
      </w:r>
      <w:r w:rsidDel="00000000" w:rsidR="00000000" w:rsidRPr="00000000">
        <w:rPr>
          <w:rtl w:val="0"/>
        </w:rPr>
      </w:r>
    </w:p>
    <w:p w:rsidR="00000000" w:rsidDel="00000000" w:rsidP="00000000" w:rsidRDefault="00000000" w:rsidRPr="00000000" w14:paraId="0000020E">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3. "Congo, Chinese Partners Sign Reviewed Sicomines Copper-Cobalt Joint Venture Agreement," MINING.COM, March 14, 2024.</w:t>
      </w:r>
      <w:r w:rsidDel="00000000" w:rsidR="00000000" w:rsidRPr="00000000">
        <w:rPr>
          <w:rtl w:val="0"/>
        </w:rPr>
      </w:r>
    </w:p>
    <w:p w:rsidR="00000000" w:rsidDel="00000000" w:rsidP="00000000" w:rsidRDefault="00000000" w:rsidRPr="00000000" w14:paraId="0000020F">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4. "Chinese Firms Agree to Raise Investment in Democratic Republic of Congo Copper-Cobalt Mining Deal," South China Morning Post, February 4, 2024.</w:t>
      </w:r>
      <w:r w:rsidDel="00000000" w:rsidR="00000000" w:rsidRPr="00000000">
        <w:rPr>
          <w:rtl w:val="0"/>
        </w:rPr>
      </w:r>
    </w:p>
    <w:p w:rsidR="00000000" w:rsidDel="00000000" w:rsidP="00000000" w:rsidRDefault="00000000" w:rsidRPr="00000000" w14:paraId="00000210">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5. Stanis Bujakera, Sonia Rolley, and Helen Reid, "Congo Demands $17bn More in Infrastructure Investments from China Deal," Reuters, republished MINING.COM, February 16, 2023.</w:t>
      </w:r>
      <w:r w:rsidDel="00000000" w:rsidR="00000000" w:rsidRPr="00000000">
        <w:rPr>
          <w:rtl w:val="0"/>
        </w:rPr>
      </w:r>
    </w:p>
    <w:p w:rsidR="00000000" w:rsidDel="00000000" w:rsidP="00000000" w:rsidRDefault="00000000" w:rsidRPr="00000000" w14:paraId="00000211">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6. Micheal van Wyk, "DRC Launches Audit of $9 Billion Sicomines Mining Project, Appoints Mayer Brown," Mining Focus Africa, March 13, 2026.</w:t>
      </w:r>
      <w:r w:rsidDel="00000000" w:rsidR="00000000" w:rsidRPr="00000000">
        <w:rPr>
          <w:rtl w:val="0"/>
        </w:rPr>
      </w:r>
    </w:p>
    <w:p w:rsidR="00000000" w:rsidDel="00000000" w:rsidP="00000000" w:rsidRDefault="00000000" w:rsidRPr="00000000" w14:paraId="00000212">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7. "RDC: le CNPAV appelle a accelerer l'audit technique et financier du projet Sicomines," mediacongo.net, July 23, 2026.</w:t>
      </w:r>
      <w:r w:rsidDel="00000000" w:rsidR="00000000" w:rsidRPr="00000000">
        <w:rPr>
          <w:rtl w:val="0"/>
        </w:rPr>
      </w:r>
    </w:p>
    <w:p w:rsidR="00000000" w:rsidDel="00000000" w:rsidP="00000000" w:rsidRDefault="00000000" w:rsidRPr="00000000" w14:paraId="00000213">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8. "Pakistan Pledges More Security for China-Run Mine After Insurgency Warning," The China-Global South Project, July 16, 2026.</w:t>
      </w:r>
      <w:r w:rsidDel="00000000" w:rsidR="00000000" w:rsidRPr="00000000">
        <w:rPr>
          <w:rtl w:val="0"/>
        </w:rPr>
      </w:r>
    </w:p>
    <w:p w:rsidR="00000000" w:rsidDel="00000000" w:rsidP="00000000" w:rsidRDefault="00000000" w:rsidRPr="00000000" w14:paraId="00000214">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9. "Militant Buildup in Areas Critical to China's Economic Interests in Pakistan," The Diplomat, August 2026.</w:t>
      </w:r>
      <w:r w:rsidDel="00000000" w:rsidR="00000000" w:rsidRPr="00000000">
        <w:rPr>
          <w:rtl w:val="0"/>
        </w:rPr>
      </w:r>
    </w:p>
    <w:p w:rsidR="00000000" w:rsidDel="00000000" w:rsidP="00000000" w:rsidRDefault="00000000" w:rsidRPr="00000000" w14:paraId="00000215">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10. "China-Backed Pakistan Copper Mine Warns of Shutdown amid Balochistan Unrest," Business Standard, July 16, 2026.</w:t>
      </w:r>
      <w:r w:rsidDel="00000000" w:rsidR="00000000" w:rsidRPr="00000000">
        <w:rPr>
          <w:rtl w:val="0"/>
        </w:rPr>
      </w:r>
    </w:p>
    <w:p w:rsidR="00000000" w:rsidDel="00000000" w:rsidP="00000000" w:rsidRDefault="00000000" w:rsidRPr="00000000" w14:paraId="00000216">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11. "SASAC New Administrative Measures Administering SOEs' Foreign Investments," Lexology, August 1, 2011.</w:t>
      </w:r>
      <w:r w:rsidDel="00000000" w:rsidR="00000000" w:rsidRPr="00000000">
        <w:rPr>
          <w:rtl w:val="0"/>
        </w:rPr>
      </w:r>
    </w:p>
    <w:p w:rsidR="00000000" w:rsidDel="00000000" w:rsidP="00000000" w:rsidRDefault="00000000" w:rsidRPr="00000000" w14:paraId="00000217">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12. "CHINESE UPDATE — SASAC to Strengthen Supervision on Outbound Investment of Central Enterprises," XBMA, February 9, 2017.</w:t>
      </w:r>
      <w:r w:rsidDel="00000000" w:rsidR="00000000" w:rsidRPr="00000000">
        <w:rPr>
          <w:rtl w:val="0"/>
        </w:rPr>
      </w:r>
    </w:p>
    <w:p w:rsidR="00000000" w:rsidDel="00000000" w:rsidP="00000000" w:rsidRDefault="00000000" w:rsidRPr="00000000" w14:paraId="00000218">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13. State-Owned Assets Supervision and Administration Commission of the State Council, Measures for the Supervision and Administration of Overseas Investment by Central Enterprises, SASAC Order No. 35 (2017), official English translation, followingthemoney.org.</w:t>
      </w:r>
      <w:r w:rsidDel="00000000" w:rsidR="00000000" w:rsidRPr="00000000">
        <w:rPr>
          <w:rtl w:val="0"/>
        </w:rPr>
      </w:r>
    </w:p>
    <w:p w:rsidR="00000000" w:rsidDel="00000000" w:rsidP="00000000" w:rsidRDefault="00000000" w:rsidRPr="00000000" w14:paraId="00000219">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14. "Policies Applying to State-Owned Enterprises," followingthemoney.org, September 22, 2022.</w:t>
      </w:r>
      <w:r w:rsidDel="00000000" w:rsidR="00000000" w:rsidRPr="00000000">
        <w:rPr>
          <w:rtl w:val="0"/>
        </w:rPr>
      </w:r>
    </w:p>
    <w:p w:rsidR="00000000" w:rsidDel="00000000" w:rsidP="00000000" w:rsidRDefault="00000000" w:rsidRPr="00000000" w14:paraId="0000021A">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15. SASAC Performance Evaluation Measures for Enterprise Executives of Centrally Administered Enterprises, SASAC Order No. 33, discussed in OECD, State-Owned Enterprises in Asia: National Practices for Performance Evaluation and Management (Paris: OECD, 2016).</w:t>
      </w:r>
      <w:r w:rsidDel="00000000" w:rsidR="00000000" w:rsidRPr="00000000">
        <w:rPr>
          <w:rtl w:val="0"/>
        </w:rPr>
      </w:r>
    </w:p>
    <w:p w:rsidR="00000000" w:rsidDel="00000000" w:rsidP="00000000" w:rsidRDefault="00000000" w:rsidRPr="00000000" w14:paraId="0000021B">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16. "DRC Orders Audit of 18-Year Sino-Congolese Mining Deal," Ecofin Agency, March 11, 2026.</w:t>
      </w:r>
      <w:r w:rsidDel="00000000" w:rsidR="00000000" w:rsidRPr="00000000">
        <w:rPr>
          <w:rtl w:val="0"/>
        </w:rPr>
      </w:r>
    </w:p>
    <w:p w:rsidR="00000000" w:rsidDel="00000000" w:rsidP="00000000" w:rsidRDefault="00000000" w:rsidRPr="00000000" w14:paraId="0000021C">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17. Wei Yan et al., "Global Expansion and Executive Promotion of State-Owned Enterprises," Global Strategy Journal (2025).</w:t>
      </w:r>
      <w:r w:rsidDel="00000000" w:rsidR="00000000" w:rsidRPr="00000000">
        <w:rPr>
          <w:rtl w:val="0"/>
        </w:rPr>
      </w:r>
    </w:p>
    <w:p w:rsidR="00000000" w:rsidDel="00000000" w:rsidP="00000000" w:rsidRDefault="00000000" w:rsidRPr="00000000" w14:paraId="0000021D">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18. "China's SOE Executives: Drivers of or Obstacles to Reform?," Copenhagen Journal of Asian Studies.</w:t>
      </w:r>
      <w:r w:rsidDel="00000000" w:rsidR="00000000" w:rsidRPr="00000000">
        <w:rPr>
          <w:rtl w:val="0"/>
        </w:rPr>
      </w:r>
    </w:p>
    <w:p w:rsidR="00000000" w:rsidDel="00000000" w:rsidP="00000000" w:rsidRDefault="00000000" w:rsidRPr="00000000" w14:paraId="0000021E">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19. "Does State-Owned Enterprises' Performance Evaluation Detect Earnings Manipulation?," Sustainability 17, no. 9 (2025): 3827.</w:t>
      </w:r>
      <w:r w:rsidDel="00000000" w:rsidR="00000000" w:rsidRPr="00000000">
        <w:rPr>
          <w:rtl w:val="0"/>
        </w:rPr>
      </w:r>
    </w:p>
    <w:p w:rsidR="00000000" w:rsidDel="00000000" w:rsidP="00000000" w:rsidRDefault="00000000" w:rsidRPr="00000000" w14:paraId="0000021F">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20. "Disentangling Decision-Making: Chinese Infrastructure Finance in Africa," Global Development Policy Center, Boston University.</w:t>
      </w:r>
      <w:r w:rsidDel="00000000" w:rsidR="00000000" w:rsidRPr="00000000">
        <w:rPr>
          <w:rtl w:val="0"/>
        </w:rPr>
      </w:r>
    </w:p>
    <w:p w:rsidR="00000000" w:rsidDel="00000000" w:rsidP="00000000" w:rsidRDefault="00000000" w:rsidRPr="00000000" w14:paraId="00000220">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21. "Crude Deals or Clever Design? Unpacking China's Resource-Backed Finance in Africa," The China-Global South Project, September 5, 2025.</w:t>
      </w:r>
      <w:r w:rsidDel="00000000" w:rsidR="00000000" w:rsidRPr="00000000">
        <w:rPr>
          <w:rtl w:val="0"/>
        </w:rPr>
      </w:r>
    </w:p>
    <w:p w:rsidR="00000000" w:rsidDel="00000000" w:rsidP="00000000" w:rsidRDefault="00000000" w:rsidRPr="00000000" w14:paraId="00000221">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22. "Out of Public Sight, China's State-Backed Lenders Secure Priority Repayment from Emerging Economies with Cash Collateral," AidData, June 25, 2025.</w:t>
      </w:r>
      <w:r w:rsidDel="00000000" w:rsidR="00000000" w:rsidRPr="00000000">
        <w:rPr>
          <w:rtl w:val="0"/>
        </w:rPr>
      </w:r>
    </w:p>
    <w:p w:rsidR="00000000" w:rsidDel="00000000" w:rsidP="00000000" w:rsidRDefault="00000000" w:rsidRPr="00000000" w14:paraId="00000222">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23. "China's Africa Lending Model Has a Split Personality," Asia Times, July 15, 2026.</w:t>
      </w:r>
      <w:r w:rsidDel="00000000" w:rsidR="00000000" w:rsidRPr="00000000">
        <w:rPr>
          <w:rtl w:val="0"/>
        </w:rPr>
      </w:r>
    </w:p>
    <w:p w:rsidR="00000000" w:rsidDel="00000000" w:rsidP="00000000" w:rsidRDefault="00000000" w:rsidRPr="00000000" w14:paraId="00000223">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24. "Export-Import Bank of China (China Exim Bank)," Navigating the Belt and Road Initiative Toolkit, Asia Society Policy Institute.</w:t>
      </w:r>
      <w:r w:rsidDel="00000000" w:rsidR="00000000" w:rsidRPr="00000000">
        <w:rPr>
          <w:rtl w:val="0"/>
        </w:rPr>
      </w:r>
    </w:p>
    <w:p w:rsidR="00000000" w:rsidDel="00000000" w:rsidP="00000000" w:rsidRDefault="00000000" w:rsidRPr="00000000" w14:paraId="00000224">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25. "Inside China's National Defense Mobilization Reform: Capacity Surveys, Mobilization Resources, and 'New-Type' Militias," Recorded Future.</w:t>
      </w:r>
      <w:r w:rsidDel="00000000" w:rsidR="00000000" w:rsidRPr="00000000">
        <w:rPr>
          <w:rtl w:val="0"/>
        </w:rPr>
      </w:r>
    </w:p>
    <w:p w:rsidR="00000000" w:rsidDel="00000000" w:rsidP="00000000" w:rsidRDefault="00000000" w:rsidRPr="00000000" w14:paraId="00000225">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26. Devin Thorne, testimony before the U.S.-China Economic and Security Review Commission, 2024.</w:t>
      </w:r>
      <w:r w:rsidDel="00000000" w:rsidR="00000000" w:rsidRPr="00000000">
        <w:rPr>
          <w:rtl w:val="0"/>
        </w:rPr>
      </w:r>
    </w:p>
    <w:p w:rsidR="00000000" w:rsidDel="00000000" w:rsidP="00000000" w:rsidRDefault="00000000" w:rsidRPr="00000000" w14:paraId="00000226">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27. Richter and Rosen, "China's National Defense Mobilization System," U.S. Army War College Strategic Studies Institute.</w:t>
      </w:r>
      <w:r w:rsidDel="00000000" w:rsidR="00000000" w:rsidRPr="00000000">
        <w:rPr>
          <w:rtl w:val="0"/>
        </w:rPr>
      </w:r>
    </w:p>
    <w:p w:rsidR="00000000" w:rsidDel="00000000" w:rsidP="00000000" w:rsidRDefault="00000000" w:rsidRPr="00000000" w14:paraId="00000227">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28. Ministry of National Defense of the People's Republic of China, "Law of the People's Republic of China on National Defense."</w:t>
      </w:r>
      <w:r w:rsidDel="00000000" w:rsidR="00000000" w:rsidRPr="00000000">
        <w:rPr>
          <w:rtl w:val="0"/>
        </w:rPr>
      </w:r>
    </w:p>
    <w:p w:rsidR="00000000" w:rsidDel="00000000" w:rsidP="00000000" w:rsidRDefault="00000000" w:rsidRPr="00000000" w14:paraId="00000228">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29. "[Sino-Congolese Programme] China Eximbank Provides $660 Million Commercial Loan for 240 MW Busanga Hydroelectric Power Plant Project," AidData Project Database.</w:t>
      </w:r>
      <w:r w:rsidDel="00000000" w:rsidR="00000000" w:rsidRPr="00000000">
        <w:rPr>
          <w:rtl w:val="0"/>
        </w:rPr>
      </w:r>
    </w:p>
    <w:p w:rsidR="00000000" w:rsidDel="00000000" w:rsidP="00000000" w:rsidRDefault="00000000" w:rsidRPr="00000000" w14:paraId="00000229">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30. "DRC President Inaugurates New Chinese-Built Hydropower Plant," The China-Global South Project, October 9, 2023.</w:t>
      </w:r>
      <w:r w:rsidDel="00000000" w:rsidR="00000000" w:rsidRPr="00000000">
        <w:rPr>
          <w:rtl w:val="0"/>
        </w:rPr>
      </w:r>
    </w:p>
    <w:p w:rsidR="00000000" w:rsidDel="00000000" w:rsidP="00000000" w:rsidRDefault="00000000" w:rsidRPr="00000000" w14:paraId="0000022A">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31. U.S. International Development Finance Corporation, "U.S. Strategic Critical Minerals Reserve"; Export-Import Bank of the United States, "EXIM Approves Project Vault Loan to Launch America's Strategic Critical Minerals Reserve and Support Manufacturing Jobs," press release, February 2, 2026.</w:t>
      </w:r>
      <w:r w:rsidDel="00000000" w:rsidR="00000000" w:rsidRPr="00000000">
        <w:rPr>
          <w:rtl w:val="0"/>
        </w:rPr>
      </w:r>
    </w:p>
    <w:p w:rsidR="00000000" w:rsidDel="00000000" w:rsidP="00000000" w:rsidRDefault="00000000" w:rsidRPr="00000000" w14:paraId="0000022B">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32. U.S. International Development Finance Corporation, "DFC CEO Ben Black Signs Loan Agreement for Lobito Atlantic Railway, Securing Critical Minerals for Mutual U.S.-Africa Benefit," press release, December 17, 2025.</w:t>
      </w:r>
      <w:r w:rsidDel="00000000" w:rsidR="00000000" w:rsidRPr="00000000">
        <w:rPr>
          <w:rtl w:val="0"/>
        </w:rPr>
      </w:r>
    </w:p>
    <w:p w:rsidR="00000000" w:rsidDel="00000000" w:rsidP="00000000" w:rsidRDefault="00000000" w:rsidRPr="00000000" w14:paraId="0000022C">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33. "Lobito Atlantic Railway Secures USD753 Million to Accelerate Development in Angola," Trafigura, press release, December 17, 2025.</w:t>
      </w:r>
      <w:r w:rsidDel="00000000" w:rsidR="00000000" w:rsidRPr="00000000">
        <w:rPr>
          <w:rtl w:val="0"/>
        </w:rPr>
      </w:r>
    </w:p>
    <w:p w:rsidR="00000000" w:rsidDel="00000000" w:rsidP="00000000" w:rsidRDefault="00000000" w:rsidRPr="00000000" w14:paraId="0000022D">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34. Serra Verde Group, "Serra Verde Secures US$565 million Financing from US International Development Finance Corporation," press release, February 5, 2026.</w:t>
      </w:r>
      <w:r w:rsidDel="00000000" w:rsidR="00000000" w:rsidRPr="00000000">
        <w:rPr>
          <w:rtl w:val="0"/>
        </w:rPr>
      </w:r>
    </w:p>
    <w:p w:rsidR="00000000" w:rsidDel="00000000" w:rsidP="00000000" w:rsidRDefault="00000000" w:rsidRPr="00000000" w14:paraId="0000022E">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35. "Critical Minerals: 'Project Vault' and the New US Critical Minerals Playbook," Insights, Mayer Brown, March 27, 2026.</w:t>
      </w:r>
      <w:r w:rsidDel="00000000" w:rsidR="00000000" w:rsidRPr="00000000">
        <w:rPr>
          <w:rtl w:val="0"/>
        </w:rPr>
      </w:r>
    </w:p>
    <w:p w:rsidR="00000000" w:rsidDel="00000000" w:rsidP="00000000" w:rsidRDefault="00000000" w:rsidRPr="00000000" w14:paraId="0000022F">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36. U.S. Department of State, "2026 Critical Minerals Ministerial," Office of the Spokesperson, February 5, 2026.</w:t>
      </w:r>
      <w:r w:rsidDel="00000000" w:rsidR="00000000" w:rsidRPr="00000000">
        <w:rPr>
          <w:rtl w:val="0"/>
        </w:rPr>
      </w:r>
    </w:p>
    <w:p w:rsidR="00000000" w:rsidDel="00000000" w:rsidP="00000000" w:rsidRDefault="00000000" w:rsidRPr="00000000" w14:paraId="00000230">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37. U.S. International Development Finance Corporation, "DFC Announces $20B Plan for Maritime Reinsurance in the Gulf," press release; see also "DFC, Chubb Announce Additional American Reinsurance Partners and up to $40B in Coverage for Maritime Reinsurance," press release.</w:t>
      </w:r>
      <w:r w:rsidDel="00000000" w:rsidR="00000000" w:rsidRPr="00000000">
        <w:rPr>
          <w:rtl w:val="0"/>
        </w:rPr>
      </w:r>
    </w:p>
    <w:p w:rsidR="00000000" w:rsidDel="00000000" w:rsidP="00000000" w:rsidRDefault="00000000" w:rsidRPr="00000000" w14:paraId="00000231">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38. Congressional Research Service, "U.S. International Development Finance Corporation (DFC)," IF11436, updated 2026; see also "DFC Shipping Reinsurance Facility: Iran Conflict and Strait of Hormuz," IN12688.</w:t>
      </w:r>
      <w:r w:rsidDel="00000000" w:rsidR="00000000" w:rsidRPr="00000000">
        <w:rPr>
          <w:rtl w:val="0"/>
        </w:rPr>
      </w:r>
    </w:p>
    <w:p w:rsidR="00000000" w:rsidDel="00000000" w:rsidP="00000000" w:rsidRDefault="00000000" w:rsidRPr="00000000" w14:paraId="00000232">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39. U.S. Department of the Treasury, Office of Foreign Assets Control, "Treasury Disrupts Russia's Sanctions Evasion Schemes" (designation of OJSC Keremet Bank), press release, January 15, 2025.</w:t>
      </w:r>
      <w:r w:rsidDel="00000000" w:rsidR="00000000" w:rsidRPr="00000000">
        <w:rPr>
          <w:rtl w:val="0"/>
        </w:rPr>
      </w:r>
    </w:p>
    <w:p w:rsidR="00000000" w:rsidDel="00000000" w:rsidP="00000000" w:rsidRDefault="00000000" w:rsidRPr="00000000" w14:paraId="00000233">
      <w:pPr>
        <w:jc w:val="both"/>
        <w:rPr/>
      </w:pPr>
      <w:r w:rsidDel="00000000" w:rsidR="00000000" w:rsidRPr="00000000">
        <w:rPr>
          <w:rFonts w:ascii="Times New Roman" w:cs="Times New Roman" w:eastAsia="Times New Roman" w:hAnsi="Times New Roman"/>
          <w:b w:val="0"/>
          <w:bCs w:val="0"/>
          <w:i w:val="0"/>
          <w:iCs w:val="0"/>
          <w:sz w:val="22"/>
          <w:szCs w:val="22"/>
          <w:rtl w:val="0"/>
        </w:rPr>
        <w:t xml:space="preserve">40. Electronic Code of Federal Regulations, "31 CFR Part 586 — Chinese Military-Industrial Complex Sanctions Regulations"; Federal Register, "Chinese Military-Industrial Complex Sanctions Regulations," February 16, 2022.</w:t>
      </w:r>
      <w:r w:rsidDel="00000000" w:rsidR="00000000" w:rsidRPr="00000000">
        <w:rPr>
          <w:rtl w:val="0"/>
        </w:rPr>
      </w:r>
    </w:p>
    <w:sectPr>
      <w:headerReference r:id="rId7" w:type="default"/>
      <w:footerReference r:id="rId8" w:type="default"/>
      <w:pgSz w:h="15840" w:w="12240" w:orient="portrait"/>
      <w:pgMar w:bottom="1080" w:top="1080" w:left="1260" w:right="126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Calibri"/>
  <w:font w:name="Gungsuh"/>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3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3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16"/>
        <w:szCs w:val="16"/>
        <w:u w:val="none"/>
        <w:shd w:fill="auto" w:val="clear"/>
        <w:vertAlign w:val="baseline"/>
        <w:rtl w:val="0"/>
      </w:rPr>
      <w:t xml:space="preserve">Arctic Ledger — Volume I </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000000"/>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Header">
    <w:name w:val="header"/>
    <w:basedOn w:val="Normal"/>
    <w:link w:val="HeaderChar"/>
    <w:uiPriority w:val="99"/>
    <w:unhideWhenUsed w:val="1"/>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val="1"/>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Heading7">
    <w:name w:val="heading 7"/>
    <w:basedOn w:val="Normal"/>
    <w:next w:val="Normal"/>
    <w:link w:val="Heading7Char"/>
    <w:uiPriority w:val="9"/>
    <w:semiHidden w:val="1"/>
    <w:unhideWhenUsed w:val="1"/>
    <w:qFormat w:val="1"/>
    <w:rsid w:val="00FC693F"/>
    <w:pPr>
      <w:keepNext w:val="1"/>
      <w:keepLines w:val="1"/>
      <w:spacing w:after="0" w:before="200"/>
      <w:outlineLvl w:val="6"/>
    </w:pPr>
    <w:rPr>
      <w:rFonts w:asciiTheme="majorHAnsi" w:cstheme="majorBidi" w:eastAsiaTheme="majorEastAsia" w:hAnsiTheme="majorHAnsi"/>
      <w:i w:val="1"/>
      <w:iCs w:val="1"/>
      <w:color w:val="404040" w:themeColor="text1" w:themeTint="0000BF"/>
    </w:rPr>
  </w:style>
  <w:style w:type="paragraph" w:styleId="Heading8">
    <w:name w:val="heading 8"/>
    <w:basedOn w:val="Normal"/>
    <w:next w:val="Normal"/>
    <w:link w:val="Heading8Char"/>
    <w:uiPriority w:val="9"/>
    <w:semiHidden w:val="1"/>
    <w:unhideWhenUsed w:val="1"/>
    <w:qFormat w:val="1"/>
    <w:rsid w:val="00FC693F"/>
    <w:pPr>
      <w:keepNext w:val="1"/>
      <w:keepLines w:val="1"/>
      <w:spacing w:after="0" w:before="200"/>
      <w:outlineLvl w:val="7"/>
    </w:pPr>
    <w:rPr>
      <w:rFonts w:asciiTheme="majorHAnsi" w:cstheme="majorBidi" w:eastAsiaTheme="majorEastAsia" w:hAnsiTheme="majorHAnsi"/>
      <w:color w:val="4f81bd" w:themeColor="accent1"/>
      <w:sz w:val="20"/>
      <w:szCs w:val="20"/>
    </w:rPr>
  </w:style>
  <w:style w:type="paragraph" w:styleId="Heading9">
    <w:name w:val="heading 9"/>
    <w:basedOn w:val="Normal"/>
    <w:next w:val="Normal"/>
    <w:link w:val="Heading9Char"/>
    <w:uiPriority w:val="9"/>
    <w:semiHidden w:val="1"/>
    <w:unhideWhenUsed w:val="1"/>
    <w:qFormat w:val="1"/>
    <w:rsid w:val="00FC693F"/>
    <w:pPr>
      <w:keepNext w:val="1"/>
      <w:keepLines w:val="1"/>
      <w:spacing w:after="0" w:before="200"/>
      <w:outlineLvl w:val="8"/>
    </w:pPr>
    <w:rPr>
      <w:rFonts w:asciiTheme="majorHAnsi" w:cstheme="majorBidi" w:eastAsiaTheme="majorEastAsia" w:hAnsiTheme="majorHAnsi"/>
      <w:i w:val="1"/>
      <w:iCs w:val="1"/>
      <w:color w:val="404040" w:themeColor="text1" w:themeTint="0000BF"/>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Spacing">
    <w:name w:val="No Spacing"/>
    <w:uiPriority w:val="1"/>
    <w:qFormat w:val="1"/>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cstheme="majorBidi" w:eastAsiaTheme="majorEastAsia" w:hAnsiTheme="majorHAnsi"/>
      <w:b w:val="1"/>
      <w:bCs w:val="1"/>
      <w:color w:val="365f91" w:themeColor="accent1" w:themeShade="0000BF"/>
      <w:sz w:val="28"/>
      <w:szCs w:val="28"/>
    </w:rPr>
  </w:style>
  <w:style w:type="character" w:styleId="Heading2Char" w:customStyle="1">
    <w:name w:val="Heading 2 Char"/>
    <w:basedOn w:val="DefaultParagraphFont"/>
    <w:link w:val="Heading2"/>
    <w:uiPriority w:val="9"/>
    <w:rsid w:val="00FC693F"/>
    <w:rPr>
      <w:rFonts w:asciiTheme="majorHAnsi" w:cstheme="majorBidi" w:eastAsiaTheme="majorEastAsia" w:hAnsiTheme="majorHAnsi"/>
      <w:b w:val="1"/>
      <w:bCs w:val="1"/>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cstheme="majorBidi" w:eastAsiaTheme="majorEastAsia" w:hAnsiTheme="majorHAnsi"/>
      <w:b w:val="1"/>
      <w:bCs w:val="1"/>
      <w:color w:val="4f81bd" w:themeColor="accent1"/>
    </w:rPr>
  </w:style>
  <w:style w:type="character" w:styleId="TitleChar" w:customStyle="1">
    <w:name w:val="Title Char"/>
    <w:basedOn w:val="DefaultParagraphFont"/>
    <w:link w:val="Title"/>
    <w:uiPriority w:val="10"/>
    <w:rsid w:val="00FC693F"/>
    <w:rPr>
      <w:rFonts w:asciiTheme="majorHAnsi" w:cstheme="majorBidi" w:eastAsiaTheme="majorEastAsia" w:hAnsiTheme="majorHAnsi"/>
      <w:color w:val="17365d" w:themeColor="text2" w:themeShade="0000BF"/>
      <w:spacing w:val="5"/>
      <w:kern w:val="28"/>
      <w:sz w:val="52"/>
      <w:szCs w:val="52"/>
    </w:rPr>
  </w:style>
  <w:style w:type="character" w:styleId="SubtitleChar" w:customStyle="1">
    <w:name w:val="Subtitle Char"/>
    <w:basedOn w:val="DefaultParagraphFont"/>
    <w:link w:val="Subtitle"/>
    <w:uiPriority w:val="11"/>
    <w:rsid w:val="00FC693F"/>
    <w:rPr>
      <w:rFonts w:asciiTheme="majorHAnsi" w:cstheme="majorBidi" w:eastAsiaTheme="majorEastAsia" w:hAnsiTheme="majorHAnsi"/>
      <w:i w:val="1"/>
      <w:iCs w:val="1"/>
      <w:color w:val="4f81bd" w:themeColor="accent1"/>
      <w:spacing w:val="15"/>
      <w:sz w:val="24"/>
      <w:szCs w:val="24"/>
    </w:rPr>
  </w:style>
  <w:style w:type="paragraph" w:styleId="ListParagraph">
    <w:name w:val="List Paragraph"/>
    <w:basedOn w:val="Normal"/>
    <w:uiPriority w:val="34"/>
    <w:qFormat w:val="1"/>
    <w:rsid w:val="00FC693F"/>
    <w:pPr>
      <w:ind w:left="720"/>
      <w:contextualSpacing w:val="1"/>
    </w:pPr>
  </w:style>
  <w:style w:type="paragraph" w:styleId="BodyText">
    <w:name w:val="Body Text"/>
    <w:basedOn w:val="Normal"/>
    <w:link w:val="BodyTextChar"/>
    <w:uiPriority w:val="99"/>
    <w:unhideWhenUsed w:val="1"/>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val="1"/>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val="1"/>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val="1"/>
    <w:rsid w:val="00AA1D8D"/>
    <w:pPr>
      <w:ind w:left="360" w:hanging="360"/>
      <w:contextualSpacing w:val="1"/>
    </w:pPr>
  </w:style>
  <w:style w:type="paragraph" w:styleId="List2">
    <w:name w:val="List 2"/>
    <w:basedOn w:val="Normal"/>
    <w:uiPriority w:val="99"/>
    <w:unhideWhenUsed w:val="1"/>
    <w:rsid w:val="00326F90"/>
    <w:pPr>
      <w:ind w:left="720" w:hanging="360"/>
      <w:contextualSpacing w:val="1"/>
    </w:pPr>
  </w:style>
  <w:style w:type="paragraph" w:styleId="List3">
    <w:name w:val="List 3"/>
    <w:basedOn w:val="Normal"/>
    <w:uiPriority w:val="99"/>
    <w:unhideWhenUsed w:val="1"/>
    <w:rsid w:val="00326F90"/>
    <w:pPr>
      <w:ind w:left="1080" w:hanging="360"/>
      <w:contextualSpacing w:val="1"/>
    </w:pPr>
  </w:style>
  <w:style w:type="paragraph" w:styleId="ListBullet">
    <w:name w:val="List Bullet"/>
    <w:basedOn w:val="Normal"/>
    <w:uiPriority w:val="99"/>
    <w:unhideWhenUsed w:val="1"/>
    <w:rsid w:val="00326F90"/>
    <w:pPr>
      <w:numPr>
        <w:numId w:val="1"/>
      </w:numPr>
      <w:contextualSpacing w:val="1"/>
    </w:pPr>
  </w:style>
  <w:style w:type="paragraph" w:styleId="ListBullet2">
    <w:name w:val="List Bullet 2"/>
    <w:basedOn w:val="Normal"/>
    <w:uiPriority w:val="99"/>
    <w:unhideWhenUsed w:val="1"/>
    <w:rsid w:val="00326F90"/>
    <w:pPr>
      <w:numPr>
        <w:numId w:val="2"/>
      </w:numPr>
      <w:contextualSpacing w:val="1"/>
    </w:pPr>
  </w:style>
  <w:style w:type="paragraph" w:styleId="ListBullet3">
    <w:name w:val="List Bullet 3"/>
    <w:basedOn w:val="Normal"/>
    <w:uiPriority w:val="99"/>
    <w:unhideWhenUsed w:val="1"/>
    <w:rsid w:val="00326F90"/>
    <w:pPr>
      <w:numPr>
        <w:numId w:val="3"/>
      </w:numPr>
      <w:contextualSpacing w:val="1"/>
    </w:pPr>
  </w:style>
  <w:style w:type="paragraph" w:styleId="ListNumber">
    <w:name w:val="List Number"/>
    <w:basedOn w:val="Normal"/>
    <w:uiPriority w:val="99"/>
    <w:unhideWhenUsed w:val="1"/>
    <w:rsid w:val="00326F90"/>
    <w:pPr>
      <w:numPr>
        <w:numId w:val="5"/>
      </w:numPr>
      <w:contextualSpacing w:val="1"/>
    </w:pPr>
  </w:style>
  <w:style w:type="paragraph" w:styleId="ListNumber2">
    <w:name w:val="List Number 2"/>
    <w:basedOn w:val="Normal"/>
    <w:uiPriority w:val="99"/>
    <w:unhideWhenUsed w:val="1"/>
    <w:rsid w:val="0029639D"/>
    <w:pPr>
      <w:numPr>
        <w:numId w:val="6"/>
      </w:numPr>
      <w:contextualSpacing w:val="1"/>
    </w:pPr>
  </w:style>
  <w:style w:type="paragraph" w:styleId="ListNumber3">
    <w:name w:val="List Number 3"/>
    <w:basedOn w:val="Normal"/>
    <w:uiPriority w:val="99"/>
    <w:unhideWhenUsed w:val="1"/>
    <w:rsid w:val="0029639D"/>
    <w:pPr>
      <w:numPr>
        <w:numId w:val="7"/>
      </w:numPr>
      <w:contextualSpacing w:val="1"/>
    </w:pPr>
  </w:style>
  <w:style w:type="paragraph" w:styleId="ListContinue">
    <w:name w:val="List Continue"/>
    <w:basedOn w:val="Normal"/>
    <w:uiPriority w:val="99"/>
    <w:unhideWhenUsed w:val="1"/>
    <w:rsid w:val="0029639D"/>
    <w:pPr>
      <w:spacing w:after="120"/>
      <w:ind w:left="360"/>
      <w:contextualSpacing w:val="1"/>
    </w:pPr>
  </w:style>
  <w:style w:type="paragraph" w:styleId="ListContinue2">
    <w:name w:val="List Continue 2"/>
    <w:basedOn w:val="Normal"/>
    <w:uiPriority w:val="99"/>
    <w:unhideWhenUsed w:val="1"/>
    <w:rsid w:val="0029639D"/>
    <w:pPr>
      <w:spacing w:after="120"/>
      <w:ind w:left="720"/>
      <w:contextualSpacing w:val="1"/>
    </w:pPr>
  </w:style>
  <w:style w:type="paragraph" w:styleId="ListContinue3">
    <w:name w:val="List Continue 3"/>
    <w:basedOn w:val="Normal"/>
    <w:uiPriority w:val="99"/>
    <w:unhideWhenUsed w:val="1"/>
    <w:rsid w:val="0029639D"/>
    <w:pPr>
      <w:spacing w:after="120"/>
      <w:ind w:left="1080"/>
      <w:contextualSpacing w:val="1"/>
    </w:pPr>
  </w:style>
  <w:style w:type="paragraph" w:styleId="MacroText">
    <w:name w:val="macro"/>
    <w:link w:val="MacroTextChar"/>
    <w:uiPriority w:val="99"/>
    <w:unhideWhenUsed w:val="1"/>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val="1"/>
    <w:rsid w:val="00FC693F"/>
    <w:rPr>
      <w:i w:val="1"/>
      <w:iCs w:val="1"/>
      <w:color w:val="000000" w:themeColor="text1"/>
    </w:rPr>
  </w:style>
  <w:style w:type="character" w:styleId="QuoteChar" w:customStyle="1">
    <w:name w:val="Quote Char"/>
    <w:basedOn w:val="DefaultParagraphFont"/>
    <w:link w:val="Quote"/>
    <w:uiPriority w:val="29"/>
    <w:rsid w:val="00FC693F"/>
    <w:rPr>
      <w:i w:val="1"/>
      <w:iCs w:val="1"/>
      <w:color w:val="000000" w:themeColor="text1"/>
    </w:rPr>
  </w:style>
  <w:style w:type="character" w:styleId="Heading4Char" w:customStyle="1">
    <w:name w:val="Heading 4 Char"/>
    <w:basedOn w:val="DefaultParagraphFont"/>
    <w:link w:val="Heading4"/>
    <w:uiPriority w:val="9"/>
    <w:semiHidden w:val="1"/>
    <w:rsid w:val="00FC693F"/>
    <w:rPr>
      <w:rFonts w:asciiTheme="majorHAnsi" w:cstheme="majorBidi" w:eastAsiaTheme="majorEastAsia" w:hAnsiTheme="majorHAnsi"/>
      <w:b w:val="1"/>
      <w:bCs w:val="1"/>
      <w:i w:val="1"/>
      <w:iCs w:val="1"/>
      <w:color w:val="4f81bd" w:themeColor="accent1"/>
    </w:rPr>
  </w:style>
  <w:style w:type="character" w:styleId="Heading5Char" w:customStyle="1">
    <w:name w:val="Heading 5 Char"/>
    <w:basedOn w:val="DefaultParagraphFont"/>
    <w:link w:val="Heading5"/>
    <w:uiPriority w:val="9"/>
    <w:semiHidden w:val="1"/>
    <w:rsid w:val="00FC693F"/>
    <w:rPr>
      <w:rFonts w:asciiTheme="majorHAnsi" w:cstheme="majorBidi" w:eastAsiaTheme="majorEastAsia" w:hAnsiTheme="majorHAnsi"/>
      <w:color w:val="243f60" w:themeColor="accent1" w:themeShade="00007F"/>
    </w:rPr>
  </w:style>
  <w:style w:type="character" w:styleId="Heading6Char" w:customStyle="1">
    <w:name w:val="Heading 6 Char"/>
    <w:basedOn w:val="DefaultParagraphFont"/>
    <w:link w:val="Heading6"/>
    <w:uiPriority w:val="9"/>
    <w:semiHidden w:val="1"/>
    <w:rsid w:val="00FC693F"/>
    <w:rPr>
      <w:rFonts w:asciiTheme="majorHAnsi" w:cstheme="majorBidi" w:eastAsiaTheme="majorEastAsia" w:hAnsiTheme="majorHAnsi"/>
      <w:i w:val="1"/>
      <w:iCs w:val="1"/>
      <w:color w:val="243f60" w:themeColor="accent1" w:themeShade="00007F"/>
    </w:rPr>
  </w:style>
  <w:style w:type="character" w:styleId="Heading7Char" w:customStyle="1">
    <w:name w:val="Heading 7 Char"/>
    <w:basedOn w:val="DefaultParagraphFont"/>
    <w:link w:val="Heading7"/>
    <w:uiPriority w:val="9"/>
    <w:semiHidden w:val="1"/>
    <w:rsid w:val="00FC693F"/>
    <w:rPr>
      <w:rFonts w:asciiTheme="majorHAnsi" w:cstheme="majorBidi" w:eastAsiaTheme="majorEastAsia" w:hAnsiTheme="majorHAnsi"/>
      <w:i w:val="1"/>
      <w:iCs w:val="1"/>
      <w:color w:val="404040" w:themeColor="text1" w:themeTint="0000BF"/>
    </w:rPr>
  </w:style>
  <w:style w:type="character" w:styleId="Heading8Char" w:customStyle="1">
    <w:name w:val="Heading 8 Char"/>
    <w:basedOn w:val="DefaultParagraphFont"/>
    <w:link w:val="Heading8"/>
    <w:uiPriority w:val="9"/>
    <w:semiHidden w:val="1"/>
    <w:rsid w:val="00FC693F"/>
    <w:rPr>
      <w:rFonts w:asciiTheme="majorHAnsi" w:cstheme="majorBidi" w:eastAsiaTheme="majorEastAsia" w:hAnsiTheme="majorHAnsi"/>
      <w:color w:val="4f81bd" w:themeColor="accent1"/>
      <w:sz w:val="20"/>
      <w:szCs w:val="20"/>
    </w:rPr>
  </w:style>
  <w:style w:type="character" w:styleId="Heading9Char" w:customStyle="1">
    <w:name w:val="Heading 9 Char"/>
    <w:basedOn w:val="DefaultParagraphFont"/>
    <w:link w:val="Heading9"/>
    <w:uiPriority w:val="9"/>
    <w:semiHidden w:val="1"/>
    <w:rsid w:val="00FC693F"/>
    <w:rPr>
      <w:rFonts w:asciiTheme="majorHAnsi" w:cstheme="majorBidi" w:eastAsiaTheme="majorEastAsia" w:hAnsiTheme="majorHAnsi"/>
      <w:i w:val="1"/>
      <w:iCs w:val="1"/>
      <w:color w:val="404040" w:themeColor="text1" w:themeTint="0000BF"/>
      <w:sz w:val="20"/>
      <w:szCs w:val="20"/>
    </w:rPr>
  </w:style>
  <w:style w:type="paragraph" w:styleId="Caption">
    <w:name w:val="caption"/>
    <w:basedOn w:val="Normal"/>
    <w:next w:val="Normal"/>
    <w:uiPriority w:val="35"/>
    <w:semiHidden w:val="1"/>
    <w:unhideWhenUsed w:val="1"/>
    <w:qFormat w:val="1"/>
    <w:rsid w:val="00FC693F"/>
    <w:pPr>
      <w:spacing w:line="240" w:lineRule="auto"/>
    </w:pPr>
    <w:rPr>
      <w:b w:val="1"/>
      <w:bCs w:val="1"/>
      <w:color w:val="4f81bd" w:themeColor="accent1"/>
      <w:sz w:val="18"/>
      <w:szCs w:val="18"/>
    </w:rPr>
  </w:style>
  <w:style w:type="character" w:styleId="Strong">
    <w:name w:val="Strong"/>
    <w:basedOn w:val="DefaultParagraphFont"/>
    <w:uiPriority w:val="22"/>
    <w:qFormat w:val="1"/>
    <w:rsid w:val="00FC693F"/>
    <w:rPr>
      <w:b w:val="1"/>
      <w:bCs w:val="1"/>
    </w:rPr>
  </w:style>
  <w:style w:type="character" w:styleId="Emphasis">
    <w:name w:val="Emphasis"/>
    <w:basedOn w:val="DefaultParagraphFont"/>
    <w:uiPriority w:val="20"/>
    <w:qFormat w:val="1"/>
    <w:rsid w:val="00FC693F"/>
    <w:rPr>
      <w:i w:val="1"/>
      <w:iCs w:val="1"/>
    </w:rPr>
  </w:style>
  <w:style w:type="paragraph" w:styleId="IntenseQuote">
    <w:name w:val="Intense Quote"/>
    <w:basedOn w:val="Normal"/>
    <w:next w:val="Normal"/>
    <w:link w:val="IntenseQuoteChar"/>
    <w:uiPriority w:val="30"/>
    <w:qFormat w:val="1"/>
    <w:rsid w:val="00FC693F"/>
    <w:pPr>
      <w:pBdr>
        <w:bottom w:color="4f81bd" w:space="4" w:sz="4" w:themeColor="accent1" w:val="single"/>
      </w:pBdr>
      <w:spacing w:after="280" w:before="200"/>
      <w:ind w:left="936" w:right="936"/>
    </w:pPr>
    <w:rPr>
      <w:b w:val="1"/>
      <w:bCs w:val="1"/>
      <w:i w:val="1"/>
      <w:iCs w:val="1"/>
      <w:color w:val="4f81bd" w:themeColor="accent1"/>
    </w:rPr>
  </w:style>
  <w:style w:type="character" w:styleId="IntenseQuoteChar" w:customStyle="1">
    <w:name w:val="Intense Quote Char"/>
    <w:basedOn w:val="DefaultParagraphFont"/>
    <w:link w:val="IntenseQuote"/>
    <w:uiPriority w:val="30"/>
    <w:rsid w:val="00FC693F"/>
    <w:rPr>
      <w:b w:val="1"/>
      <w:bCs w:val="1"/>
      <w:i w:val="1"/>
      <w:iCs w:val="1"/>
      <w:color w:val="4f81bd" w:themeColor="accent1"/>
    </w:rPr>
  </w:style>
  <w:style w:type="character" w:styleId="SubtleEmphasis">
    <w:name w:val="Subtle Emphasis"/>
    <w:basedOn w:val="DefaultParagraphFont"/>
    <w:uiPriority w:val="19"/>
    <w:qFormat w:val="1"/>
    <w:rsid w:val="00FC693F"/>
    <w:rPr>
      <w:i w:val="1"/>
      <w:iCs w:val="1"/>
      <w:color w:val="808080" w:themeColor="text1" w:themeTint="00007F"/>
    </w:rPr>
  </w:style>
  <w:style w:type="character" w:styleId="IntenseEmphasis">
    <w:name w:val="Intense Emphasis"/>
    <w:basedOn w:val="DefaultParagraphFont"/>
    <w:uiPriority w:val="21"/>
    <w:qFormat w:val="1"/>
    <w:rsid w:val="00FC693F"/>
    <w:rPr>
      <w:b w:val="1"/>
      <w:bCs w:val="1"/>
      <w:i w:val="1"/>
      <w:iCs w:val="1"/>
      <w:color w:val="4f81bd" w:themeColor="accent1"/>
    </w:rPr>
  </w:style>
  <w:style w:type="character" w:styleId="SubtleReference">
    <w:name w:val="Subtle Reference"/>
    <w:basedOn w:val="DefaultParagraphFont"/>
    <w:uiPriority w:val="31"/>
    <w:qFormat w:val="1"/>
    <w:rsid w:val="00FC693F"/>
    <w:rPr>
      <w:smallCaps w:val="1"/>
      <w:color w:val="c0504d" w:themeColor="accent2"/>
      <w:u w:val="single"/>
    </w:rPr>
  </w:style>
  <w:style w:type="character" w:styleId="IntenseReference">
    <w:name w:val="Intense Reference"/>
    <w:basedOn w:val="DefaultParagraphFont"/>
    <w:uiPriority w:val="32"/>
    <w:qFormat w:val="1"/>
    <w:rsid w:val="00FC693F"/>
    <w:rPr>
      <w:b w:val="1"/>
      <w:bCs w:val="1"/>
      <w:smallCaps w:val="1"/>
      <w:color w:val="c0504d" w:themeColor="accent2"/>
      <w:spacing w:val="5"/>
      <w:u w:val="single"/>
    </w:rPr>
  </w:style>
  <w:style w:type="character" w:styleId="BookTitle">
    <w:name w:val="Book Title"/>
    <w:basedOn w:val="DefaultParagraphFont"/>
    <w:uiPriority w:val="33"/>
    <w:qFormat w:val="1"/>
    <w:rsid w:val="00FC693F"/>
    <w:rPr>
      <w:b w:val="1"/>
      <w:bCs w:val="1"/>
      <w:smallCaps w:val="1"/>
      <w:spacing w:val="5"/>
    </w:rPr>
  </w:style>
  <w:style w:type="paragraph" w:styleId="TOCHeading">
    <w:name w:val="TOC Heading"/>
    <w:basedOn w:val="Heading1"/>
    <w:next w:val="Normal"/>
    <w:uiPriority w:val="39"/>
    <w:semiHidden w:val="1"/>
    <w:unhideWhenUsed w:val="1"/>
    <w:qFormat w:val="1"/>
    <w:rsid w:val="00FC693F"/>
    <w:pPr>
      <w:outlineLvl w:val="9"/>
    </w:pPr>
  </w:style>
  <w:style w:type="table" w:styleId="TableGrid">
    <w:name w:val="Table Grid"/>
    <w:basedOn w:val="TableNormal"/>
    <w:uiPriority w:val="59"/>
    <w:rsid w:val="00FC693F"/>
    <w:pPr>
      <w:spacing w:after="0" w:line="240" w:lineRule="auto"/>
    </w:p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table" w:styleId="LightShading">
    <w:name w:val="Light Shading"/>
    <w:basedOn w:val="TableNormal"/>
    <w:uiPriority w:val="60"/>
    <w:rsid w:val="00FC693F"/>
    <w:pPr>
      <w:spacing w:after="0" w:line="240" w:lineRule="auto"/>
    </w:pPr>
    <w:rPr>
      <w:color w:val="000000" w:themeColor="text1" w:themeShade="0000BF"/>
    </w:rPr>
    <w:tblPr>
      <w:tblStyleRowBandSize w:val="1"/>
      <w:tblStyleColBandSize w:val="1"/>
      <w:tblInd w:w="0.0" w:type="dxa"/>
      <w:tblBorders>
        <w:top w:color="000000" w:space="0" w:sz="8" w:themeColor="text1" w:val="single"/>
        <w:bottom w:color="000000" w:space="0" w:sz="8" w:themeColor="text1"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left w:space="0" w:sz="0" w:val="nil"/>
          <w:right w:space="0" w:sz="0" w:val="nil"/>
          <w:insideH w:space="0" w:sz="0" w:val="nil"/>
          <w:insideV w:space="0" w:sz="0" w:val="nil"/>
        </w:tcBorders>
        <w:shd w:color="auto" w:fill="c0c0c0" w:themeFill="text1" w:themeFillTint="00003F" w:val="clear"/>
      </w:tcPr>
    </w:tblStylePr>
  </w:style>
  <w:style w:type="table" w:styleId="LightShading-Accent1">
    <w:name w:val="Light Shading Accent 1"/>
    <w:basedOn w:val="TableNormal"/>
    <w:uiPriority w:val="60"/>
    <w:rsid w:val="00FC693F"/>
    <w:pPr>
      <w:spacing w:after="0" w:line="240" w:lineRule="auto"/>
    </w:pPr>
    <w:rPr>
      <w:color w:val="365f91" w:themeColor="accent1" w:themeShade="0000BF"/>
    </w:rPr>
    <w:tblPr>
      <w:tblStyleRowBandSize w:val="1"/>
      <w:tblStyleColBandSize w:val="1"/>
      <w:tblInd w:w="0.0" w:type="dxa"/>
      <w:tblBorders>
        <w:top w:color="4f81bd" w:space="0" w:sz="8" w:themeColor="accent1" w:val="single"/>
        <w:bottom w:color="4f81bd" w:space="0" w:sz="8" w:themeColor="accent1"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left w:space="0" w:sz="0" w:val="nil"/>
          <w:right w:space="0" w:sz="0" w:val="nil"/>
          <w:insideH w:space="0" w:sz="0" w:val="nil"/>
          <w:insideV w:space="0" w:sz="0" w:val="nil"/>
        </w:tcBorders>
        <w:shd w:color="auto" w:fill="d3dfee" w:themeFill="accent1" w:themeFillTint="00003F" w:val="clear"/>
      </w:tcPr>
    </w:tblStylePr>
  </w:style>
  <w:style w:type="table" w:styleId="LightShading-Accent2">
    <w:name w:val="Light Shading Accent 2"/>
    <w:basedOn w:val="TableNormal"/>
    <w:uiPriority w:val="60"/>
    <w:rsid w:val="00FC693F"/>
    <w:pPr>
      <w:spacing w:after="0" w:line="240" w:lineRule="auto"/>
    </w:pPr>
    <w:rPr>
      <w:color w:val="943634" w:themeColor="accent2" w:themeShade="0000BF"/>
    </w:rPr>
    <w:tblPr>
      <w:tblStyleRowBandSize w:val="1"/>
      <w:tblStyleColBandSize w:val="1"/>
      <w:tblInd w:w="0.0" w:type="dxa"/>
      <w:tblBorders>
        <w:top w:color="c0504d" w:space="0" w:sz="8" w:themeColor="accent2" w:val="single"/>
        <w:bottom w:color="c0504d" w:space="0" w:sz="8" w:themeColor="accent2"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la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left w:space="0" w:sz="0" w:val="nil"/>
          <w:right w:space="0" w:sz="0" w:val="nil"/>
          <w:insideH w:space="0" w:sz="0" w:val="nil"/>
          <w:insideV w:space="0" w:sz="0" w:val="nil"/>
        </w:tcBorders>
        <w:shd w:color="auto" w:fill="efd3d2" w:themeFill="accent2" w:themeFillTint="00003F" w:val="clear"/>
      </w:tcPr>
    </w:tblStylePr>
  </w:style>
  <w:style w:type="table" w:styleId="LightShading-Accent3">
    <w:name w:val="Light Shading Accent 3"/>
    <w:basedOn w:val="TableNormal"/>
    <w:uiPriority w:val="60"/>
    <w:rsid w:val="00FC693F"/>
    <w:pPr>
      <w:spacing w:after="0" w:line="240" w:lineRule="auto"/>
    </w:pPr>
    <w:rPr>
      <w:color w:val="76923c" w:themeColor="accent3" w:themeShade="0000BF"/>
    </w:rPr>
    <w:tblPr>
      <w:tblStyleRowBandSize w:val="1"/>
      <w:tblStyleColBandSize w:val="1"/>
      <w:tblInd w:w="0.0" w:type="dxa"/>
      <w:tblBorders>
        <w:top w:color="9bbb59" w:space="0" w:sz="8" w:themeColor="accent3" w:val="single"/>
        <w:bottom w:color="9bbb59" w:space="0" w:sz="8" w:themeColor="accent3"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la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left w:space="0" w:sz="0" w:val="nil"/>
          <w:right w:space="0" w:sz="0" w:val="nil"/>
          <w:insideH w:space="0" w:sz="0" w:val="nil"/>
          <w:insideV w:space="0" w:sz="0" w:val="nil"/>
        </w:tcBorders>
        <w:shd w:color="auto" w:fill="e6eed5" w:themeFill="accent3" w:themeFillTint="00003F" w:val="clear"/>
      </w:tcPr>
    </w:tblStylePr>
  </w:style>
  <w:style w:type="table" w:styleId="LightShading-Accent4">
    <w:name w:val="Light Shading Accent 4"/>
    <w:basedOn w:val="TableNormal"/>
    <w:uiPriority w:val="60"/>
    <w:rsid w:val="00FC693F"/>
    <w:pPr>
      <w:spacing w:after="0" w:line="240" w:lineRule="auto"/>
    </w:pPr>
    <w:rPr>
      <w:color w:val="5f497a" w:themeColor="accent4" w:themeShade="0000BF"/>
    </w:rPr>
    <w:tblPr>
      <w:tblStyleRowBandSize w:val="1"/>
      <w:tblStyleColBandSize w:val="1"/>
      <w:tblInd w:w="0.0" w:type="dxa"/>
      <w:tblBorders>
        <w:top w:color="8064a2" w:space="0" w:sz="8" w:themeColor="accent4" w:val="single"/>
        <w:bottom w:color="8064a2" w:space="0" w:sz="8" w:themeColor="accent4"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la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left w:space="0" w:sz="0" w:val="nil"/>
          <w:right w:space="0" w:sz="0" w:val="nil"/>
          <w:insideH w:space="0" w:sz="0" w:val="nil"/>
          <w:insideV w:space="0" w:sz="0" w:val="nil"/>
        </w:tcBorders>
        <w:shd w:color="auto" w:fill="dfd8e8" w:themeFill="accent4" w:themeFillTint="00003F" w:val="clear"/>
      </w:tcPr>
    </w:tblStylePr>
  </w:style>
  <w:style w:type="table" w:styleId="LightShading-Accent5">
    <w:name w:val="Light Shading Accent 5"/>
    <w:basedOn w:val="TableNormal"/>
    <w:uiPriority w:val="60"/>
    <w:rsid w:val="00FC693F"/>
    <w:pPr>
      <w:spacing w:after="0" w:line="240" w:lineRule="auto"/>
    </w:pPr>
    <w:rPr>
      <w:color w:val="31849b" w:themeColor="accent5" w:themeShade="0000BF"/>
    </w:rPr>
    <w:tblPr>
      <w:tblStyleRowBandSize w:val="1"/>
      <w:tblStyleColBandSize w:val="1"/>
      <w:tblInd w:w="0.0" w:type="dxa"/>
      <w:tblBorders>
        <w:top w:color="4bacc6" w:space="0" w:sz="8" w:themeColor="accent5" w:val="single"/>
        <w:bottom w:color="4bacc6" w:space="0" w:sz="8" w:themeColor="accent5"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la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left w:space="0" w:sz="0" w:val="nil"/>
          <w:right w:space="0" w:sz="0" w:val="nil"/>
          <w:insideH w:space="0" w:sz="0" w:val="nil"/>
          <w:insideV w:space="0" w:sz="0" w:val="nil"/>
        </w:tcBorders>
        <w:shd w:color="auto" w:fill="d2eaf1" w:themeFill="accent5" w:themeFillTint="00003F" w:val="clear"/>
      </w:tcPr>
    </w:tblStylePr>
  </w:style>
  <w:style w:type="table" w:styleId="LightShading-Accent6">
    <w:name w:val="Light Shading Accent 6"/>
    <w:basedOn w:val="TableNormal"/>
    <w:uiPriority w:val="60"/>
    <w:rsid w:val="00FC693F"/>
    <w:pPr>
      <w:spacing w:after="0" w:line="240" w:lineRule="auto"/>
    </w:pPr>
    <w:rPr>
      <w:color w:val="e36c0a" w:themeColor="accent6" w:themeShade="0000BF"/>
    </w:rPr>
    <w:tblPr>
      <w:tblStyleRowBandSize w:val="1"/>
      <w:tblStyleColBandSize w:val="1"/>
      <w:tblInd w:w="0.0" w:type="dxa"/>
      <w:tblBorders>
        <w:top w:color="f79646" w:space="0" w:sz="8" w:themeColor="accent6" w:val="single"/>
        <w:bottom w:color="f79646" w:space="0" w:sz="8" w:themeColor="accent6"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la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left w:space="0" w:sz="0" w:val="nil"/>
          <w:right w:space="0" w:sz="0" w:val="nil"/>
          <w:insideH w:space="0" w:sz="0" w:val="nil"/>
          <w:insideV w:space="0" w:sz="0" w:val="nil"/>
        </w:tcBorders>
        <w:shd w:color="auto" w:fill="fde4d0" w:themeFill="accent6" w:themeFillTint="00003F" w:val="clear"/>
      </w:tcPr>
    </w:tblStylePr>
  </w:style>
  <w:style w:type="table" w:styleId="LightList">
    <w:name w:val="Light List"/>
    <w:basedOn w:val="TableNormal"/>
    <w:uiPriority w:val="61"/>
    <w:rsid w:val="00FC693F"/>
    <w:pPr>
      <w:spacing w:after="0" w:line="240" w:lineRule="auto"/>
    </w:p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000000" w:themeFill="text1" w:val="clear"/>
      </w:tcPr>
    </w:tblStylePr>
    <w:tblStylePr w:type="lastRow">
      <w:pPr>
        <w:spacing w:after="0" w:before="0" w:line="240" w:lineRule="auto"/>
      </w:pPr>
      <w:rPr>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val="1"/>
        <w:bCs w:val="1"/>
      </w:rPr>
    </w:tblStylePr>
    <w:tblStylePr w:type="lastCol">
      <w:rPr>
        <w:b w:val="1"/>
        <w:bCs w:val="1"/>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4f81bd" w:themeFill="accent1" w:val="clear"/>
      </w:tcPr>
    </w:tblStylePr>
    <w:tblStylePr w:type="lastRow">
      <w:pPr>
        <w:spacing w:after="0" w:before="0" w:line="240" w:lineRule="auto"/>
      </w:pPr>
      <w:rPr>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val="1"/>
        <w:bCs w:val="1"/>
      </w:rPr>
    </w:tblStylePr>
    <w:tblStylePr w:type="lastCol">
      <w:rPr>
        <w:b w:val="1"/>
        <w:bCs w:val="1"/>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c0504d" w:themeFill="accent2" w:val="clear"/>
      </w:tcPr>
    </w:tblStylePr>
    <w:tblStylePr w:type="lastRow">
      <w:pPr>
        <w:spacing w:after="0" w:before="0" w:line="240" w:lineRule="auto"/>
      </w:pPr>
      <w:rPr>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val="1"/>
        <w:bCs w:val="1"/>
      </w:rPr>
    </w:tblStylePr>
    <w:tblStylePr w:type="lastCol">
      <w:rPr>
        <w:b w:val="1"/>
        <w:bCs w:val="1"/>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9bbb59" w:themeFill="accent3" w:val="clear"/>
      </w:tcPr>
    </w:tblStylePr>
    <w:tblStylePr w:type="lastRow">
      <w:pPr>
        <w:spacing w:after="0" w:before="0" w:line="240" w:lineRule="auto"/>
      </w:pPr>
      <w:rPr>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val="1"/>
        <w:bCs w:val="1"/>
      </w:rPr>
    </w:tblStylePr>
    <w:tblStylePr w:type="lastCol">
      <w:rPr>
        <w:b w:val="1"/>
        <w:bCs w:val="1"/>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8064a2" w:themeFill="accent4" w:val="clear"/>
      </w:tcPr>
    </w:tblStylePr>
    <w:tblStylePr w:type="lastRow">
      <w:pPr>
        <w:spacing w:after="0" w:before="0" w:line="240" w:lineRule="auto"/>
      </w:pPr>
      <w:rPr>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val="1"/>
        <w:bCs w:val="1"/>
      </w:rPr>
    </w:tblStylePr>
    <w:tblStylePr w:type="lastCol">
      <w:rPr>
        <w:b w:val="1"/>
        <w:bCs w:val="1"/>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4bacc6" w:themeFill="accent5" w:val="clear"/>
      </w:tcPr>
    </w:tblStylePr>
    <w:tblStylePr w:type="lastRow">
      <w:pPr>
        <w:spacing w:after="0" w:before="0" w:line="240" w:lineRule="auto"/>
      </w:pPr>
      <w:rPr>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val="1"/>
        <w:bCs w:val="1"/>
      </w:rPr>
    </w:tblStylePr>
    <w:tblStylePr w:type="lastCol">
      <w:rPr>
        <w:b w:val="1"/>
        <w:bCs w:val="1"/>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f79646" w:themeFill="accent6" w:val="clear"/>
      </w:tcPr>
    </w:tblStylePr>
    <w:tblStylePr w:type="lastRow">
      <w:pPr>
        <w:spacing w:after="0" w:before="0" w:line="240" w:lineRule="auto"/>
      </w:pPr>
      <w:rPr>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val="1"/>
        <w:bCs w:val="1"/>
      </w:rPr>
    </w:tblStylePr>
    <w:tblStylePr w:type="lastCol">
      <w:rPr>
        <w:b w:val="1"/>
        <w:bCs w:val="1"/>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type="table" w:styleId="LightGrid">
    <w:name w:val="Light Grid"/>
    <w:basedOn w:val="TableNormal"/>
    <w:uiPriority w:val="62"/>
    <w:rsid w:val="00CB0664"/>
    <w:pPr>
      <w:spacing w:after="0" w:line="240" w:lineRule="auto"/>
    </w:p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space="0" w:sz="0"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space="0" w:sz="0" w:val="nil"/>
          <w:insideV w:color="000000" w:space="0" w:sz="8" w:themeColor="tex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0000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0000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space="0" w:sz="0"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space="0" w:sz="0" w:val="nil"/>
          <w:insideV w:color="4f81bd" w:space="0" w:sz="8" w:themeColor="accen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0000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0000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space="0" w:sz="0"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space="0" w:sz="0" w:val="nil"/>
          <w:insideV w:color="c0504d" w:space="0" w:sz="8" w:themeColor="accent2"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0000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0000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space="0" w:sz="0"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space="0" w:sz="0" w:val="nil"/>
          <w:insideV w:color="9bbb59" w:space="0" w:sz="8" w:themeColor="accent3"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0000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0000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space="0" w:sz="0"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space="0" w:sz="0" w:val="nil"/>
          <w:insideV w:color="8064a2" w:space="0" w:sz="8" w:themeColor="accent4"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0000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0000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space="0" w:sz="0"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space="0" w:sz="0" w:val="nil"/>
          <w:insideV w:color="4bacc6" w:space="0" w:sz="8" w:themeColor="accent5"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0000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0000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space="0" w:sz="0"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space="0" w:sz="0" w:val="nil"/>
          <w:insideV w:color="f79646" w:space="0" w:sz="8" w:themeColor="accent6"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0000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0000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0" w:type="dxa"/>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shd w:color="auto" w:fill="000000" w:themeFill="text1" w:val="clear"/>
      </w:tcPr>
    </w:tblStylePr>
    <w:tblStylePr w:type="lastRow">
      <w:pPr>
        <w:spacing w:after="0" w:before="0" w:line="240" w:lineRule="auto"/>
      </w:pPr>
      <w:rPr>
        <w:b w:val="1"/>
        <w:bCs w:val="1"/>
      </w:rPr>
      <w:tblPr/>
      <w:tcPr>
        <w:tcBorders>
          <w:top w:color="404040" w:space="0" w:sz="6" w:themeColor="text1" w:themeTint="0000BF" w:val="doub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c0c0c0" w:themeFill="text1" w:themeFillTint="00003F" w:val="clear"/>
      </w:tcPr>
    </w:tblStylePr>
    <w:tblStylePr w:type="band1Horz">
      <w:tblPr/>
      <w:tcPr>
        <w:tcBorders>
          <w:insideH w:space="0" w:sz="0" w:val="nil"/>
          <w:insideV w:space="0" w:sz="0" w:val="nil"/>
        </w:tcBorders>
        <w:shd w:color="auto" w:fill="c0c0c0" w:themeFill="text1" w:themeFillTint="00003F" w:val="clear"/>
      </w:tcPr>
    </w:tblStylePr>
    <w:tblStylePr w:type="band2Horz">
      <w:tblPr/>
      <w:tcPr>
        <w:tcBorders>
          <w:insideH w:space="0" w:sz="0" w:val="nil"/>
          <w:insideV w:space="0" w:sz="0"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0" w:type="dxa"/>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shd w:color="auto" w:fill="4f81bd" w:themeFill="accent1" w:val="clear"/>
      </w:tcPr>
    </w:tblStylePr>
    <w:tblStylePr w:type="lastRow">
      <w:pPr>
        <w:spacing w:after="0" w:before="0" w:line="240" w:lineRule="auto"/>
      </w:pPr>
      <w:rPr>
        <w:b w:val="1"/>
        <w:bCs w:val="1"/>
      </w:rPr>
      <w:tblPr/>
      <w:tcPr>
        <w:tcBorders>
          <w:top w:color="7ba0cd" w:space="0" w:sz="6" w:themeColor="accent1" w:themeTint="0000BF" w:val="doub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3dfee" w:themeFill="accent1" w:themeFillTint="00003F" w:val="clear"/>
      </w:tcPr>
    </w:tblStylePr>
    <w:tblStylePr w:type="band1Horz">
      <w:tblPr/>
      <w:tcPr>
        <w:tcBorders>
          <w:insideH w:space="0" w:sz="0" w:val="nil"/>
          <w:insideV w:space="0" w:sz="0" w:val="nil"/>
        </w:tcBorders>
        <w:shd w:color="auto" w:fill="d3dfee" w:themeFill="accent1" w:themeFillTint="00003F" w:val="clear"/>
      </w:tcPr>
    </w:tblStylePr>
    <w:tblStylePr w:type="band2Horz">
      <w:tblPr/>
      <w:tcPr>
        <w:tcBorders>
          <w:insideH w:space="0" w:sz="0" w:val="nil"/>
          <w:insideV w:space="0" w:sz="0"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0" w:type="dxa"/>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shd w:color="auto" w:fill="c0504d" w:themeFill="accent2" w:val="clear"/>
      </w:tcPr>
    </w:tblStylePr>
    <w:tblStylePr w:type="lastRow">
      <w:pPr>
        <w:spacing w:after="0" w:before="0" w:line="240" w:lineRule="auto"/>
      </w:pPr>
      <w:rPr>
        <w:b w:val="1"/>
        <w:bCs w:val="1"/>
      </w:rPr>
      <w:tblPr/>
      <w:tcPr>
        <w:tcBorders>
          <w:top w:color="cf7b79" w:space="0" w:sz="6" w:themeColor="accent2" w:themeTint="0000BF" w:val="doub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fd3d2" w:themeFill="accent2" w:themeFillTint="00003F" w:val="clear"/>
      </w:tcPr>
    </w:tblStylePr>
    <w:tblStylePr w:type="band1Horz">
      <w:tblPr/>
      <w:tcPr>
        <w:tcBorders>
          <w:insideH w:space="0" w:sz="0" w:val="nil"/>
          <w:insideV w:space="0" w:sz="0" w:val="nil"/>
        </w:tcBorders>
        <w:shd w:color="auto" w:fill="efd3d2" w:themeFill="accent2" w:themeFillTint="00003F" w:val="clear"/>
      </w:tcPr>
    </w:tblStylePr>
    <w:tblStylePr w:type="band2Horz">
      <w:tblPr/>
      <w:tcPr>
        <w:tcBorders>
          <w:insideH w:space="0" w:sz="0" w:val="nil"/>
          <w:insideV w:space="0" w:sz="0"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0" w:type="dxa"/>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shd w:color="auto" w:fill="9bbb59" w:themeFill="accent3" w:val="clear"/>
      </w:tcPr>
    </w:tblStylePr>
    <w:tblStylePr w:type="lastRow">
      <w:pPr>
        <w:spacing w:after="0" w:before="0" w:line="240" w:lineRule="auto"/>
      </w:pPr>
      <w:rPr>
        <w:b w:val="1"/>
        <w:bCs w:val="1"/>
      </w:rPr>
      <w:tblPr/>
      <w:tcPr>
        <w:tcBorders>
          <w:top w:color="b3cc82" w:space="0" w:sz="6" w:themeColor="accent3" w:themeTint="0000BF" w:val="doub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6eed5" w:themeFill="accent3" w:themeFillTint="00003F" w:val="clear"/>
      </w:tcPr>
    </w:tblStylePr>
    <w:tblStylePr w:type="band1Horz">
      <w:tblPr/>
      <w:tcPr>
        <w:tcBorders>
          <w:insideH w:space="0" w:sz="0" w:val="nil"/>
          <w:insideV w:space="0" w:sz="0" w:val="nil"/>
        </w:tcBorders>
        <w:shd w:color="auto" w:fill="e6eed5" w:themeFill="accent3" w:themeFillTint="00003F" w:val="clear"/>
      </w:tcPr>
    </w:tblStylePr>
    <w:tblStylePr w:type="band2Horz">
      <w:tblPr/>
      <w:tcPr>
        <w:tcBorders>
          <w:insideH w:space="0" w:sz="0" w:val="nil"/>
          <w:insideV w:space="0" w:sz="0"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0" w:type="dxa"/>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shd w:color="auto" w:fill="8064a2" w:themeFill="accent4" w:val="clear"/>
      </w:tcPr>
    </w:tblStylePr>
    <w:tblStylePr w:type="lastRow">
      <w:pPr>
        <w:spacing w:after="0" w:before="0" w:line="240" w:lineRule="auto"/>
      </w:pPr>
      <w:rPr>
        <w:b w:val="1"/>
        <w:bCs w:val="1"/>
      </w:rPr>
      <w:tblPr/>
      <w:tcPr>
        <w:tcBorders>
          <w:top w:color="9f8ab9" w:space="0" w:sz="6" w:themeColor="accent4" w:themeTint="0000BF" w:val="doub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fd8e8" w:themeFill="accent4" w:themeFillTint="00003F" w:val="clear"/>
      </w:tcPr>
    </w:tblStylePr>
    <w:tblStylePr w:type="band1Horz">
      <w:tblPr/>
      <w:tcPr>
        <w:tcBorders>
          <w:insideH w:space="0" w:sz="0" w:val="nil"/>
          <w:insideV w:space="0" w:sz="0" w:val="nil"/>
        </w:tcBorders>
        <w:shd w:color="auto" w:fill="dfd8e8" w:themeFill="accent4" w:themeFillTint="00003F" w:val="clear"/>
      </w:tcPr>
    </w:tblStylePr>
    <w:tblStylePr w:type="band2Horz">
      <w:tblPr/>
      <w:tcPr>
        <w:tcBorders>
          <w:insideH w:space="0" w:sz="0" w:val="nil"/>
          <w:insideV w:space="0" w:sz="0"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0" w:type="dxa"/>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shd w:color="auto" w:fill="4bacc6" w:themeFill="accent5" w:val="clear"/>
      </w:tcPr>
    </w:tblStylePr>
    <w:tblStylePr w:type="lastRow">
      <w:pPr>
        <w:spacing w:after="0" w:before="0" w:line="240" w:lineRule="auto"/>
      </w:pPr>
      <w:rPr>
        <w:b w:val="1"/>
        <w:bCs w:val="1"/>
      </w:rPr>
      <w:tblPr/>
      <w:tcPr>
        <w:tcBorders>
          <w:top w:color="78c0d4" w:space="0" w:sz="6" w:themeColor="accent5" w:themeTint="0000BF" w:val="doub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2eaf1" w:themeFill="accent5" w:themeFillTint="00003F" w:val="clear"/>
      </w:tcPr>
    </w:tblStylePr>
    <w:tblStylePr w:type="band1Horz">
      <w:tblPr/>
      <w:tcPr>
        <w:tcBorders>
          <w:insideH w:space="0" w:sz="0" w:val="nil"/>
          <w:insideV w:space="0" w:sz="0" w:val="nil"/>
        </w:tcBorders>
        <w:shd w:color="auto" w:fill="d2eaf1" w:themeFill="accent5" w:themeFillTint="00003F" w:val="clear"/>
      </w:tcPr>
    </w:tblStylePr>
    <w:tblStylePr w:type="band2Horz">
      <w:tblPr/>
      <w:tcPr>
        <w:tcBorders>
          <w:insideH w:space="0" w:sz="0" w:val="nil"/>
          <w:insideV w:space="0" w:sz="0"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0" w:type="dxa"/>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shd w:color="auto" w:fill="f79646" w:themeFill="accent6" w:val="clear"/>
      </w:tcPr>
    </w:tblStylePr>
    <w:tblStylePr w:type="lastRow">
      <w:pPr>
        <w:spacing w:after="0" w:before="0" w:line="240" w:lineRule="auto"/>
      </w:pPr>
      <w:rPr>
        <w:b w:val="1"/>
        <w:bCs w:val="1"/>
      </w:rPr>
      <w:tblPr/>
      <w:tcPr>
        <w:tcBorders>
          <w:top w:color="f9b074" w:space="0" w:sz="6" w:themeColor="accent6" w:themeTint="0000BF" w:val="doub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fde4d0" w:themeFill="accent6" w:themeFillTint="00003F" w:val="clear"/>
      </w:tcPr>
    </w:tblStylePr>
    <w:tblStylePr w:type="band1Horz">
      <w:tblPr/>
      <w:tcPr>
        <w:tcBorders>
          <w:insideH w:space="0" w:sz="0" w:val="nil"/>
          <w:insideV w:space="0" w:sz="0" w:val="nil"/>
        </w:tcBorders>
        <w:shd w:color="auto" w:fill="fde4d0" w:themeFill="accent6" w:themeFillTint="00003F" w:val="clear"/>
      </w:tcPr>
    </w:tblStylePr>
    <w:tblStylePr w:type="band2Horz">
      <w:tblPr/>
      <w:tcPr>
        <w:tcBorders>
          <w:insideH w:space="0" w:sz="0" w:val="nil"/>
          <w:insideV w:space="0" w:sz="0"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000000" w:themeFill="tex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000000" w:themeFill="tex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000000" w:themeFill="tex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f81bd" w:themeFill="accen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f81bd" w:themeFill="accen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f81bd" w:themeFill="accen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c0504d" w:themeFill="accent2"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c0504d" w:themeFill="accent2"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c0504d" w:themeFill="accent2"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9bbb59" w:themeFill="accent3"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9bbb59" w:themeFill="accent3"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9bbb59" w:themeFill="accent3"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8064a2" w:themeFill="accent4"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8064a2" w:themeFill="accent4"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8064a2" w:themeFill="accent4"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bacc6" w:themeFill="accent5"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bacc6" w:themeFill="accent5"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bacc6" w:themeFill="accent5"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f79646" w:themeFill="accent6"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f79646" w:themeFill="accent6"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f79646" w:themeFill="accent6"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0" w:type="dxa"/>
      <w:tblBorders>
        <w:top w:color="000000" w:space="0" w:sz="8" w:themeColor="text1" w:val="single"/>
        <w:bottom w:color="000000" w:space="0" w:sz="8" w:themeColor="text1"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000000" w:space="0" w:sz="8" w:themeColor="text1" w:val="single"/>
        </w:tcBorders>
      </w:tcPr>
    </w:tblStylePr>
    <w:tblStylePr w:type="lastRow">
      <w:rPr>
        <w:b w:val="1"/>
        <w:bCs w:val="1"/>
        <w:color w:val="1f497d" w:themeColor="text2"/>
      </w:rPr>
      <w:tblPr/>
      <w:tcPr>
        <w:tcBorders>
          <w:top w:color="000000" w:space="0" w:sz="8" w:themeColor="text1" w:val="single"/>
          <w:bottom w:color="000000" w:space="0" w:sz="8" w:themeColor="text1" w:val="single"/>
        </w:tcBorders>
      </w:tcPr>
    </w:tblStylePr>
    <w:tblStylePr w:type="firstCol">
      <w:rPr>
        <w:b w:val="1"/>
        <w:bCs w:val="1"/>
      </w:rPr>
    </w:tblStylePr>
    <w:tblStylePr w:type="lastCol">
      <w:rPr>
        <w:b w:val="1"/>
        <w:bCs w:val="1"/>
      </w:rPr>
      <w:tblPr/>
      <w:tcPr>
        <w:tcBorders>
          <w:top w:color="000000" w:space="0" w:sz="8" w:themeColor="text1" w:val="single"/>
          <w:bottom w:color="000000" w:space="0" w:sz="8" w:themeColor="text1" w:val="single"/>
        </w:tcBorders>
      </w:tcPr>
    </w:tblStylePr>
    <w:tblStylePr w:type="band1Vert">
      <w:tblPr/>
      <w:tcPr>
        <w:shd w:color="auto" w:fill="c0c0c0" w:themeFill="text1" w:themeFillTint="00003F" w:val="clear"/>
      </w:tcPr>
    </w:tblStylePr>
    <w:tblStylePr w:type="band1Horz">
      <w:tblPr/>
      <w:tcPr>
        <w:shd w:color="auto" w:fill="c0c0c0" w:themeFill="text1" w:themeFillTint="00003F" w:val="clear"/>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0" w:type="dxa"/>
      <w:tblBorders>
        <w:top w:color="4f81bd" w:space="0" w:sz="8" w:themeColor="accent1" w:val="single"/>
        <w:bottom w:color="4f81bd" w:space="0" w:sz="8" w:themeColor="accent1"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4f81bd" w:space="0" w:sz="8" w:themeColor="accent1" w:val="single"/>
        </w:tcBorders>
      </w:tcPr>
    </w:tblStylePr>
    <w:tblStylePr w:type="lastRow">
      <w:rPr>
        <w:b w:val="1"/>
        <w:bCs w:val="1"/>
        <w:color w:val="1f497d" w:themeColor="text2"/>
      </w:rPr>
      <w:tblPr/>
      <w:tcPr>
        <w:tcBorders>
          <w:top w:color="4f81bd" w:space="0" w:sz="8" w:themeColor="accent1" w:val="single"/>
          <w:bottom w:color="4f81bd" w:space="0" w:sz="8" w:themeColor="accent1" w:val="single"/>
        </w:tcBorders>
      </w:tcPr>
    </w:tblStylePr>
    <w:tblStylePr w:type="firstCol">
      <w:rPr>
        <w:b w:val="1"/>
        <w:bCs w:val="1"/>
      </w:rPr>
    </w:tblStylePr>
    <w:tblStylePr w:type="lastCol">
      <w:rPr>
        <w:b w:val="1"/>
        <w:bCs w:val="1"/>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00003F" w:val="clear"/>
      </w:tcPr>
    </w:tblStylePr>
    <w:tblStylePr w:type="band1Horz">
      <w:tblPr/>
      <w:tcPr>
        <w:shd w:color="auto" w:fill="d3dfee" w:themeFill="accent1" w:themeFillTint="00003F" w:val="clear"/>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0" w:type="dxa"/>
      <w:tblBorders>
        <w:top w:color="c0504d" w:space="0" w:sz="8" w:themeColor="accent2" w:val="single"/>
        <w:bottom w:color="c0504d" w:space="0" w:sz="8" w:themeColor="accent2"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c0504d" w:space="0" w:sz="8" w:themeColor="accent2" w:val="single"/>
        </w:tcBorders>
      </w:tcPr>
    </w:tblStylePr>
    <w:tblStylePr w:type="lastRow">
      <w:rPr>
        <w:b w:val="1"/>
        <w:bCs w:val="1"/>
        <w:color w:val="1f497d" w:themeColor="text2"/>
      </w:rPr>
      <w:tblPr/>
      <w:tcPr>
        <w:tcBorders>
          <w:top w:color="c0504d" w:space="0" w:sz="8" w:themeColor="accent2" w:val="single"/>
          <w:bottom w:color="c0504d" w:space="0" w:sz="8" w:themeColor="accent2" w:val="single"/>
        </w:tcBorders>
      </w:tcPr>
    </w:tblStylePr>
    <w:tblStylePr w:type="firstCol">
      <w:rPr>
        <w:b w:val="1"/>
        <w:bCs w:val="1"/>
      </w:rPr>
    </w:tblStylePr>
    <w:tblStylePr w:type="lastCol">
      <w:rPr>
        <w:b w:val="1"/>
        <w:bCs w:val="1"/>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00003F" w:val="clear"/>
      </w:tcPr>
    </w:tblStylePr>
    <w:tblStylePr w:type="band1Horz">
      <w:tblPr/>
      <w:tcPr>
        <w:shd w:color="auto" w:fill="efd3d2" w:themeFill="accent2" w:themeFillTint="00003F" w:val="clear"/>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0" w:type="dxa"/>
      <w:tblBorders>
        <w:top w:color="9bbb59" w:space="0" w:sz="8" w:themeColor="accent3" w:val="single"/>
        <w:bottom w:color="9bbb59" w:space="0" w:sz="8" w:themeColor="accent3"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9bbb59" w:space="0" w:sz="8" w:themeColor="accent3" w:val="single"/>
        </w:tcBorders>
      </w:tcPr>
    </w:tblStylePr>
    <w:tblStylePr w:type="lastRow">
      <w:rPr>
        <w:b w:val="1"/>
        <w:bCs w:val="1"/>
        <w:color w:val="1f497d" w:themeColor="text2"/>
      </w:rPr>
      <w:tblPr/>
      <w:tcPr>
        <w:tcBorders>
          <w:top w:color="9bbb59" w:space="0" w:sz="8" w:themeColor="accent3" w:val="single"/>
          <w:bottom w:color="9bbb59" w:space="0" w:sz="8" w:themeColor="accent3" w:val="single"/>
        </w:tcBorders>
      </w:tcPr>
    </w:tblStylePr>
    <w:tblStylePr w:type="firstCol">
      <w:rPr>
        <w:b w:val="1"/>
        <w:bCs w:val="1"/>
      </w:rPr>
    </w:tblStylePr>
    <w:tblStylePr w:type="lastCol">
      <w:rPr>
        <w:b w:val="1"/>
        <w:bCs w:val="1"/>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00003F" w:val="clear"/>
      </w:tcPr>
    </w:tblStylePr>
    <w:tblStylePr w:type="band1Horz">
      <w:tblPr/>
      <w:tcPr>
        <w:shd w:color="auto" w:fill="e6eed5" w:themeFill="accent3" w:themeFillTint="00003F" w:val="clear"/>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0" w:type="dxa"/>
      <w:tblBorders>
        <w:top w:color="8064a2" w:space="0" w:sz="8" w:themeColor="accent4" w:val="single"/>
        <w:bottom w:color="8064a2" w:space="0" w:sz="8" w:themeColor="accent4"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8064a2" w:space="0" w:sz="8" w:themeColor="accent4" w:val="single"/>
        </w:tcBorders>
      </w:tcPr>
    </w:tblStylePr>
    <w:tblStylePr w:type="lastRow">
      <w:rPr>
        <w:b w:val="1"/>
        <w:bCs w:val="1"/>
        <w:color w:val="1f497d" w:themeColor="text2"/>
      </w:rPr>
      <w:tblPr/>
      <w:tcPr>
        <w:tcBorders>
          <w:top w:color="8064a2" w:space="0" w:sz="8" w:themeColor="accent4" w:val="single"/>
          <w:bottom w:color="8064a2" w:space="0" w:sz="8" w:themeColor="accent4" w:val="single"/>
        </w:tcBorders>
      </w:tcPr>
    </w:tblStylePr>
    <w:tblStylePr w:type="firstCol">
      <w:rPr>
        <w:b w:val="1"/>
        <w:bCs w:val="1"/>
      </w:rPr>
    </w:tblStylePr>
    <w:tblStylePr w:type="lastCol">
      <w:rPr>
        <w:b w:val="1"/>
        <w:bCs w:val="1"/>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00003F" w:val="clear"/>
      </w:tcPr>
    </w:tblStylePr>
    <w:tblStylePr w:type="band1Horz">
      <w:tblPr/>
      <w:tcPr>
        <w:shd w:color="auto" w:fill="dfd8e8" w:themeFill="accent4" w:themeFillTint="00003F" w:val="clear"/>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0" w:type="dxa"/>
      <w:tblBorders>
        <w:top w:color="4bacc6" w:space="0" w:sz="8" w:themeColor="accent5" w:val="single"/>
        <w:bottom w:color="4bacc6" w:space="0" w:sz="8" w:themeColor="accent5"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4bacc6" w:space="0" w:sz="8" w:themeColor="accent5" w:val="single"/>
        </w:tcBorders>
      </w:tcPr>
    </w:tblStylePr>
    <w:tblStylePr w:type="lastRow">
      <w:rPr>
        <w:b w:val="1"/>
        <w:bCs w:val="1"/>
        <w:color w:val="1f497d" w:themeColor="text2"/>
      </w:rPr>
      <w:tblPr/>
      <w:tcPr>
        <w:tcBorders>
          <w:top w:color="4bacc6" w:space="0" w:sz="8" w:themeColor="accent5" w:val="single"/>
          <w:bottom w:color="4bacc6" w:space="0" w:sz="8" w:themeColor="accent5" w:val="single"/>
        </w:tcBorders>
      </w:tcPr>
    </w:tblStylePr>
    <w:tblStylePr w:type="firstCol">
      <w:rPr>
        <w:b w:val="1"/>
        <w:bCs w:val="1"/>
      </w:rPr>
    </w:tblStylePr>
    <w:tblStylePr w:type="lastCol">
      <w:rPr>
        <w:b w:val="1"/>
        <w:bCs w:val="1"/>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00003F" w:val="clear"/>
      </w:tcPr>
    </w:tblStylePr>
    <w:tblStylePr w:type="band1Horz">
      <w:tblPr/>
      <w:tcPr>
        <w:shd w:color="auto" w:fill="d2eaf1" w:themeFill="accent5" w:themeFillTint="00003F" w:val="clear"/>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0" w:type="dxa"/>
      <w:tblBorders>
        <w:top w:color="f79646" w:space="0" w:sz="8" w:themeColor="accent6" w:val="single"/>
        <w:bottom w:color="f79646" w:space="0" w:sz="8" w:themeColor="accent6"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f79646" w:space="0" w:sz="8" w:themeColor="accent6" w:val="single"/>
        </w:tcBorders>
      </w:tcPr>
    </w:tblStylePr>
    <w:tblStylePr w:type="lastRow">
      <w:rPr>
        <w:b w:val="1"/>
        <w:bCs w:val="1"/>
        <w:color w:val="1f497d" w:themeColor="text2"/>
      </w:rPr>
      <w:tblPr/>
      <w:tcPr>
        <w:tcBorders>
          <w:top w:color="f79646" w:space="0" w:sz="8" w:themeColor="accent6" w:val="single"/>
          <w:bottom w:color="f79646" w:space="0" w:sz="8" w:themeColor="accent6" w:val="single"/>
        </w:tcBorders>
      </w:tcPr>
    </w:tblStylePr>
    <w:tblStylePr w:type="firstCol">
      <w:rPr>
        <w:b w:val="1"/>
        <w:bCs w:val="1"/>
      </w:rPr>
    </w:tblStylePr>
    <w:tblStylePr w:type="lastCol">
      <w:rPr>
        <w:b w:val="1"/>
        <w:bCs w:val="1"/>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00003F" w:val="clear"/>
      </w:tcPr>
    </w:tblStylePr>
    <w:tblStylePr w:type="band1Horz">
      <w:tblPr/>
      <w:tcPr>
        <w:shd w:color="auto" w:fill="fde4d0" w:themeFill="accent6" w:themeFillTint="00003F" w:val="clear"/>
      </w:tcPr>
    </w:tblStylePr>
  </w:style>
  <w:style w:type="table" w:styleId="MediumList2">
    <w:name w:val="Medium List 2"/>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000000" w:space="0" w:sz="24" w:themeColor="text1" w:val="single"/>
          <w:right w:space="0" w:sz="0" w:val="nil"/>
          <w:insideH w:space="0" w:sz="0" w:val="nil"/>
          <w:insideV w:space="0" w:sz="0" w:val="nil"/>
        </w:tcBorders>
        <w:shd w:color="auto" w:fill="ffffff" w:themeFill="background1" w:val="clear"/>
      </w:tcPr>
    </w:tblStylePr>
    <w:tblStylePr w:type="lastRow">
      <w:tblPr/>
      <w:tcPr>
        <w:tcBorders>
          <w:top w:color="000000" w:space="0" w:sz="8"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000000" w:space="0" w:sz="8" w:themeColor="text1" w:val="single"/>
          <w:insideH w:space="0" w:sz="0" w:val="nil"/>
          <w:insideV w:space="0" w:sz="0" w:val="nil"/>
        </w:tcBorders>
        <w:shd w:color="auto" w:fill="ffffff" w:themeFill="background1" w:val="clear"/>
      </w:tcPr>
    </w:tblStylePr>
    <w:tblStylePr w:type="lastCol">
      <w:tblPr/>
      <w:tcPr>
        <w:tcBorders>
          <w:top w:space="0" w:sz="0" w:val="nil"/>
          <w:left w:color="000000" w:space="0" w:sz="8" w:themeColor="tex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top w:space="0" w:sz="0" w:val="nil"/>
          <w:bottom w:space="0" w:sz="0" w:val="nil"/>
          <w:insideH w:space="0" w:sz="0" w:val="nil"/>
          <w:insideV w:space="0" w:sz="0" w:val="nil"/>
        </w:tcBorders>
        <w:shd w:color="auto" w:fill="c0c0c0" w:themeFill="tex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1">
    <w:name w:val="Medium List 2 Accent 1"/>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4f81bd" w:space="0" w:sz="24" w:themeColor="accent1" w:val="single"/>
          <w:right w:space="0" w:sz="0" w:val="nil"/>
          <w:insideH w:space="0" w:sz="0" w:val="nil"/>
          <w:insideV w:space="0" w:sz="0" w:val="nil"/>
        </w:tcBorders>
        <w:shd w:color="auto" w:fill="ffffff" w:themeFill="background1" w:val="clear"/>
      </w:tcPr>
    </w:tblStylePr>
    <w:tblStylePr w:type="lastRow">
      <w:tblPr/>
      <w:tcPr>
        <w:tcBorders>
          <w:top w:color="4f81bd" w:space="0" w:sz="8" w:themeColor="accen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f81bd" w:space="0" w:sz="8" w:themeColor="accent1" w:val="single"/>
          <w:insideH w:space="0" w:sz="0" w:val="nil"/>
          <w:insideV w:space="0" w:sz="0" w:val="nil"/>
        </w:tcBorders>
        <w:shd w:color="auto" w:fill="ffffff" w:themeFill="background1" w:val="clear"/>
      </w:tcPr>
    </w:tblStylePr>
    <w:tblStylePr w:type="lastCol">
      <w:tblPr/>
      <w:tcPr>
        <w:tcBorders>
          <w:top w:space="0" w:sz="0" w:val="nil"/>
          <w:left w:color="4f81bd" w:space="0" w:sz="8" w:themeColor="accen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top w:space="0" w:sz="0" w:val="nil"/>
          <w:bottom w:space="0" w:sz="0" w:val="nil"/>
          <w:insideH w:space="0" w:sz="0" w:val="nil"/>
          <w:insideV w:space="0" w:sz="0" w:val="nil"/>
        </w:tcBorders>
        <w:shd w:color="auto" w:fill="d3dfee" w:themeFill="accen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2">
    <w:name w:val="Medium List 2 Accent 2"/>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tblPr/>
      <w:tcPr>
        <w:tcBorders>
          <w:top w:color="c0504d" w:space="0" w:sz="8" w:themeColor="accent2"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c0504d" w:space="0" w:sz="8" w:themeColor="accent2" w:val="single"/>
          <w:insideH w:space="0" w:sz="0" w:val="nil"/>
          <w:insideV w:space="0" w:sz="0" w:val="nil"/>
        </w:tcBorders>
        <w:shd w:color="auto" w:fill="ffffff" w:themeFill="background1" w:val="clear"/>
      </w:tcPr>
    </w:tblStylePr>
    <w:tblStylePr w:type="lastCol">
      <w:tblPr/>
      <w:tcPr>
        <w:tcBorders>
          <w:top w:space="0" w:sz="0" w:val="nil"/>
          <w:left w:color="c0504d" w:space="0" w:sz="8" w:themeColor="accent2"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top w:space="0" w:sz="0" w:val="nil"/>
          <w:bottom w:space="0" w:sz="0" w:val="nil"/>
          <w:insideH w:space="0" w:sz="0" w:val="nil"/>
          <w:insideV w:space="0" w:sz="0" w:val="nil"/>
        </w:tcBorders>
        <w:shd w:color="auto" w:fill="efd3d2" w:themeFill="accent2"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3">
    <w:name w:val="Medium List 2 Accent 3"/>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tblPr/>
      <w:tcPr>
        <w:tcBorders>
          <w:top w:color="9bbb59" w:space="0" w:sz="8" w:themeColor="accent3"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9bbb59" w:space="0" w:sz="8" w:themeColor="accent3" w:val="single"/>
          <w:insideH w:space="0" w:sz="0" w:val="nil"/>
          <w:insideV w:space="0" w:sz="0" w:val="nil"/>
        </w:tcBorders>
        <w:shd w:color="auto" w:fill="ffffff" w:themeFill="background1" w:val="clear"/>
      </w:tcPr>
    </w:tblStylePr>
    <w:tblStylePr w:type="lastCol">
      <w:tblPr/>
      <w:tcPr>
        <w:tcBorders>
          <w:top w:space="0" w:sz="0" w:val="nil"/>
          <w:left w:color="9bbb59" w:space="0" w:sz="8" w:themeColor="accent3"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top w:space="0" w:sz="0" w:val="nil"/>
          <w:bottom w:space="0" w:sz="0" w:val="nil"/>
          <w:insideH w:space="0" w:sz="0" w:val="nil"/>
          <w:insideV w:space="0" w:sz="0" w:val="nil"/>
        </w:tcBorders>
        <w:shd w:color="auto" w:fill="e6eed5" w:themeFill="accent3"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4">
    <w:name w:val="Medium List 2 Accent 4"/>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tblPr/>
      <w:tcPr>
        <w:tcBorders>
          <w:top w:color="8064a2" w:space="0" w:sz="8" w:themeColor="accent4"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8064a2" w:space="0" w:sz="8" w:themeColor="accent4" w:val="single"/>
          <w:insideH w:space="0" w:sz="0" w:val="nil"/>
          <w:insideV w:space="0" w:sz="0" w:val="nil"/>
        </w:tcBorders>
        <w:shd w:color="auto" w:fill="ffffff" w:themeFill="background1" w:val="clear"/>
      </w:tcPr>
    </w:tblStylePr>
    <w:tblStylePr w:type="lastCol">
      <w:tblPr/>
      <w:tcPr>
        <w:tcBorders>
          <w:top w:space="0" w:sz="0" w:val="nil"/>
          <w:left w:color="8064a2" w:space="0" w:sz="8" w:themeColor="accent4"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top w:space="0" w:sz="0" w:val="nil"/>
          <w:bottom w:space="0" w:sz="0" w:val="nil"/>
          <w:insideH w:space="0" w:sz="0" w:val="nil"/>
          <w:insideV w:space="0" w:sz="0" w:val="nil"/>
        </w:tcBorders>
        <w:shd w:color="auto" w:fill="dfd8e8" w:themeFill="accent4"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5">
    <w:name w:val="Medium List 2 Accent 5"/>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tblPr/>
      <w:tcPr>
        <w:tcBorders>
          <w:top w:color="4bacc6" w:space="0" w:sz="8" w:themeColor="accent5"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bacc6" w:space="0" w:sz="8" w:themeColor="accent5" w:val="single"/>
          <w:insideH w:space="0" w:sz="0" w:val="nil"/>
          <w:insideV w:space="0" w:sz="0" w:val="nil"/>
        </w:tcBorders>
        <w:shd w:color="auto" w:fill="ffffff" w:themeFill="background1" w:val="clear"/>
      </w:tcPr>
    </w:tblStylePr>
    <w:tblStylePr w:type="lastCol">
      <w:tblPr/>
      <w:tcPr>
        <w:tcBorders>
          <w:top w:space="0" w:sz="0" w:val="nil"/>
          <w:left w:color="4bacc6" w:space="0" w:sz="8" w:themeColor="accent5"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top w:space="0" w:sz="0" w:val="nil"/>
          <w:bottom w:space="0" w:sz="0" w:val="nil"/>
          <w:insideH w:space="0" w:sz="0" w:val="nil"/>
          <w:insideV w:space="0" w:sz="0" w:val="nil"/>
        </w:tcBorders>
        <w:shd w:color="auto" w:fill="d2eaf1" w:themeFill="accent5"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6">
    <w:name w:val="Medium List 2 Accent 6"/>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tblPr/>
      <w:tcPr>
        <w:tcBorders>
          <w:top w:color="f79646" w:space="0" w:sz="8" w:themeColor="accent6"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f79646" w:space="0" w:sz="8" w:themeColor="accent6" w:val="single"/>
          <w:insideH w:space="0" w:sz="0" w:val="nil"/>
          <w:insideV w:space="0" w:sz="0" w:val="nil"/>
        </w:tcBorders>
        <w:shd w:color="auto" w:fill="ffffff" w:themeFill="background1" w:val="clear"/>
      </w:tcPr>
    </w:tblStylePr>
    <w:tblStylePr w:type="lastCol">
      <w:tblPr/>
      <w:tcPr>
        <w:tcBorders>
          <w:top w:space="0" w:sz="0" w:val="nil"/>
          <w:left w:color="f79646" w:space="0" w:sz="8" w:themeColor="accent6"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top w:space="0" w:sz="0" w:val="nil"/>
          <w:bottom w:space="0" w:sz="0" w:val="nil"/>
          <w:insideH w:space="0" w:sz="0" w:val="nil"/>
          <w:insideV w:space="0" w:sz="0" w:val="nil"/>
        </w:tcBorders>
        <w:shd w:color="auto" w:fill="fde4d0" w:themeFill="accent6"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0" w:type="dxa"/>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insideV w:color="404040" w:space="0" w:sz="8" w:themeColor="text1" w:themeTint="0000BF" w:val="single"/>
      </w:tblBorders>
      <w:tblCellMar>
        <w:top w:w="0.0" w:type="dxa"/>
        <w:left w:w="108.0" w:type="dxa"/>
        <w:bottom w:w="0.0" w:type="dxa"/>
        <w:right w:w="108.0" w:type="dxa"/>
      </w:tblCellMar>
    </w:tblPr>
    <w:tcPr>
      <w:shd w:color="auto" w:fill="c0c0c0" w:themeFill="text1" w:themeFillTint="00003F" w:val="clear"/>
    </w:tcPr>
    <w:tblStylePr w:type="firstRow">
      <w:rPr>
        <w:b w:val="1"/>
        <w:bCs w:val="1"/>
      </w:rPr>
    </w:tblStylePr>
    <w:tblStylePr w:type="lastRow">
      <w:rPr>
        <w:b w:val="1"/>
        <w:bCs w:val="1"/>
      </w:rPr>
      <w:tblPr/>
      <w:tcPr>
        <w:tcBorders>
          <w:top w:color="404040" w:space="0" w:sz="18" w:themeColor="text1" w:themeTint="0000BF" w:val="single"/>
        </w:tcBorders>
      </w:tcPr>
    </w:tblStylePr>
    <w:tblStylePr w:type="firstCol">
      <w:rPr>
        <w:b w:val="1"/>
        <w:bCs w:val="1"/>
      </w:rPr>
    </w:tblStylePr>
    <w:tblStylePr w:type="lastCol">
      <w:rPr>
        <w:b w:val="1"/>
        <w:bCs w:val="1"/>
      </w:r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0" w:type="dxa"/>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insideV w:color="7ba0cd" w:space="0" w:sz="8" w:themeColor="accent1" w:themeTint="0000BF" w:val="single"/>
      </w:tblBorders>
      <w:tblCellMar>
        <w:top w:w="0.0" w:type="dxa"/>
        <w:left w:w="108.0" w:type="dxa"/>
        <w:bottom w:w="0.0" w:type="dxa"/>
        <w:right w:w="108.0" w:type="dxa"/>
      </w:tblCellMar>
    </w:tblPr>
    <w:tcPr>
      <w:shd w:color="auto" w:fill="d3dfee" w:themeFill="accent1" w:themeFillTint="00003F" w:val="clear"/>
    </w:tcPr>
    <w:tblStylePr w:type="firstRow">
      <w:rPr>
        <w:b w:val="1"/>
        <w:bCs w:val="1"/>
      </w:rPr>
    </w:tblStylePr>
    <w:tblStylePr w:type="lastRow">
      <w:rPr>
        <w:b w:val="1"/>
        <w:bCs w:val="1"/>
      </w:rPr>
      <w:tblPr/>
      <w:tcPr>
        <w:tcBorders>
          <w:top w:color="7ba0cd" w:space="0" w:sz="18" w:themeColor="accent1" w:themeTint="0000BF" w:val="single"/>
        </w:tcBorders>
      </w:tcPr>
    </w:tblStylePr>
    <w:tblStylePr w:type="firstCol">
      <w:rPr>
        <w:b w:val="1"/>
        <w:bCs w:val="1"/>
      </w:rPr>
    </w:tblStylePr>
    <w:tblStylePr w:type="lastCol">
      <w:rPr>
        <w:b w:val="1"/>
        <w:bCs w:val="1"/>
      </w:r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0" w:type="dxa"/>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insideV w:color="cf7b79" w:space="0" w:sz="8" w:themeColor="accent2" w:themeTint="0000BF" w:val="single"/>
      </w:tblBorders>
      <w:tblCellMar>
        <w:top w:w="0.0" w:type="dxa"/>
        <w:left w:w="108.0" w:type="dxa"/>
        <w:bottom w:w="0.0" w:type="dxa"/>
        <w:right w:w="108.0" w:type="dxa"/>
      </w:tblCellMar>
    </w:tblPr>
    <w:tcPr>
      <w:shd w:color="auto" w:fill="efd3d2" w:themeFill="accent2" w:themeFillTint="00003F" w:val="clear"/>
    </w:tcPr>
    <w:tblStylePr w:type="firstRow">
      <w:rPr>
        <w:b w:val="1"/>
        <w:bCs w:val="1"/>
      </w:rPr>
    </w:tblStylePr>
    <w:tblStylePr w:type="lastRow">
      <w:rPr>
        <w:b w:val="1"/>
        <w:bCs w:val="1"/>
      </w:rPr>
      <w:tblPr/>
      <w:tcPr>
        <w:tcBorders>
          <w:top w:color="cf7b79" w:space="0" w:sz="18" w:themeColor="accent2" w:themeTint="0000BF" w:val="single"/>
        </w:tcBorders>
      </w:tcPr>
    </w:tblStylePr>
    <w:tblStylePr w:type="firstCol">
      <w:rPr>
        <w:b w:val="1"/>
        <w:bCs w:val="1"/>
      </w:rPr>
    </w:tblStylePr>
    <w:tblStylePr w:type="lastCol">
      <w:rPr>
        <w:b w:val="1"/>
        <w:bCs w:val="1"/>
      </w:r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0" w:type="dxa"/>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insideV w:color="b3cc82" w:space="0" w:sz="8" w:themeColor="accent3" w:themeTint="0000BF" w:val="single"/>
      </w:tblBorders>
      <w:tblCellMar>
        <w:top w:w="0.0" w:type="dxa"/>
        <w:left w:w="108.0" w:type="dxa"/>
        <w:bottom w:w="0.0" w:type="dxa"/>
        <w:right w:w="108.0" w:type="dxa"/>
      </w:tblCellMar>
    </w:tblPr>
    <w:tcPr>
      <w:shd w:color="auto" w:fill="e6eed5" w:themeFill="accent3" w:themeFillTint="00003F" w:val="clear"/>
    </w:tcPr>
    <w:tblStylePr w:type="firstRow">
      <w:rPr>
        <w:b w:val="1"/>
        <w:bCs w:val="1"/>
      </w:rPr>
    </w:tblStylePr>
    <w:tblStylePr w:type="lastRow">
      <w:rPr>
        <w:b w:val="1"/>
        <w:bCs w:val="1"/>
      </w:rPr>
      <w:tblPr/>
      <w:tcPr>
        <w:tcBorders>
          <w:top w:color="b3cc82" w:space="0" w:sz="18" w:themeColor="accent3" w:themeTint="0000BF" w:val="single"/>
        </w:tcBorders>
      </w:tcPr>
    </w:tblStylePr>
    <w:tblStylePr w:type="firstCol">
      <w:rPr>
        <w:b w:val="1"/>
        <w:bCs w:val="1"/>
      </w:rPr>
    </w:tblStylePr>
    <w:tblStylePr w:type="lastCol">
      <w:rPr>
        <w:b w:val="1"/>
        <w:bCs w:val="1"/>
      </w:r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0" w:type="dxa"/>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insideV w:color="9f8ab9" w:space="0" w:sz="8" w:themeColor="accent4" w:themeTint="0000BF" w:val="single"/>
      </w:tblBorders>
      <w:tblCellMar>
        <w:top w:w="0.0" w:type="dxa"/>
        <w:left w:w="108.0" w:type="dxa"/>
        <w:bottom w:w="0.0" w:type="dxa"/>
        <w:right w:w="108.0" w:type="dxa"/>
      </w:tblCellMar>
    </w:tblPr>
    <w:tcPr>
      <w:shd w:color="auto" w:fill="dfd8e8" w:themeFill="accent4" w:themeFillTint="00003F" w:val="clear"/>
    </w:tcPr>
    <w:tblStylePr w:type="firstRow">
      <w:rPr>
        <w:b w:val="1"/>
        <w:bCs w:val="1"/>
      </w:rPr>
    </w:tblStylePr>
    <w:tblStylePr w:type="lastRow">
      <w:rPr>
        <w:b w:val="1"/>
        <w:bCs w:val="1"/>
      </w:rPr>
      <w:tblPr/>
      <w:tcPr>
        <w:tcBorders>
          <w:top w:color="9f8ab9" w:space="0" w:sz="18" w:themeColor="accent4" w:themeTint="0000BF" w:val="single"/>
        </w:tcBorders>
      </w:tcPr>
    </w:tblStylePr>
    <w:tblStylePr w:type="firstCol">
      <w:rPr>
        <w:b w:val="1"/>
        <w:bCs w:val="1"/>
      </w:rPr>
    </w:tblStylePr>
    <w:tblStylePr w:type="lastCol">
      <w:rPr>
        <w:b w:val="1"/>
        <w:bCs w:val="1"/>
      </w:r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0" w:type="dxa"/>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insideV w:color="78c0d4" w:space="0" w:sz="8" w:themeColor="accent5" w:themeTint="0000BF" w:val="single"/>
      </w:tblBorders>
      <w:tblCellMar>
        <w:top w:w="0.0" w:type="dxa"/>
        <w:left w:w="108.0" w:type="dxa"/>
        <w:bottom w:w="0.0" w:type="dxa"/>
        <w:right w:w="108.0" w:type="dxa"/>
      </w:tblCellMar>
    </w:tblPr>
    <w:tcPr>
      <w:shd w:color="auto" w:fill="d2eaf1" w:themeFill="accent5" w:themeFillTint="00003F" w:val="clear"/>
    </w:tcPr>
    <w:tblStylePr w:type="firstRow">
      <w:rPr>
        <w:b w:val="1"/>
        <w:bCs w:val="1"/>
      </w:rPr>
    </w:tblStylePr>
    <w:tblStylePr w:type="lastRow">
      <w:rPr>
        <w:b w:val="1"/>
        <w:bCs w:val="1"/>
      </w:rPr>
      <w:tblPr/>
      <w:tcPr>
        <w:tcBorders>
          <w:top w:color="78c0d4" w:space="0" w:sz="18" w:themeColor="accent5" w:themeTint="0000BF" w:val="single"/>
        </w:tcBorders>
      </w:tcPr>
    </w:tblStylePr>
    <w:tblStylePr w:type="firstCol">
      <w:rPr>
        <w:b w:val="1"/>
        <w:bCs w:val="1"/>
      </w:rPr>
    </w:tblStylePr>
    <w:tblStylePr w:type="lastCol">
      <w:rPr>
        <w:b w:val="1"/>
        <w:bCs w:val="1"/>
      </w:r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0" w:type="dxa"/>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insideV w:color="f9b074" w:space="0" w:sz="8" w:themeColor="accent6" w:themeTint="0000BF" w:val="single"/>
      </w:tblBorders>
      <w:tblCellMar>
        <w:top w:w="0.0" w:type="dxa"/>
        <w:left w:w="108.0" w:type="dxa"/>
        <w:bottom w:w="0.0" w:type="dxa"/>
        <w:right w:w="108.0" w:type="dxa"/>
      </w:tblCellMar>
    </w:tblPr>
    <w:tcPr>
      <w:shd w:color="auto" w:fill="fde4d0" w:themeFill="accent6" w:themeFillTint="00003F" w:val="clear"/>
    </w:tcPr>
    <w:tblStylePr w:type="firstRow">
      <w:rPr>
        <w:b w:val="1"/>
        <w:bCs w:val="1"/>
      </w:rPr>
    </w:tblStylePr>
    <w:tblStylePr w:type="lastRow">
      <w:rPr>
        <w:b w:val="1"/>
        <w:bCs w:val="1"/>
      </w:rPr>
      <w:tblPr/>
      <w:tcPr>
        <w:tcBorders>
          <w:top w:color="f9b074" w:space="0" w:sz="18" w:themeColor="accent6" w:themeTint="0000BF" w:val="single"/>
        </w:tcBorders>
      </w:tcPr>
    </w:tblStylePr>
    <w:tblStylePr w:type="firstCol">
      <w:rPr>
        <w:b w:val="1"/>
        <w:bCs w:val="1"/>
      </w:rPr>
    </w:tblStylePr>
    <w:tblStylePr w:type="lastCol">
      <w:rPr>
        <w:b w:val="1"/>
        <w:bCs w:val="1"/>
      </w:r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table" w:styleId="MediumGrid2">
    <w:name w:val="Medium Grid 2"/>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w="0.0" w:type="dxa"/>
        <w:left w:w="108.0" w:type="dxa"/>
        <w:bottom w:w="0.0" w:type="dxa"/>
        <w:right w:w="108.0" w:type="dxa"/>
      </w:tblCellMar>
    </w:tblPr>
    <w:tcPr>
      <w:shd w:color="auto" w:fill="c0c0c0" w:themeFill="text1" w:themeFillTint="00003F" w:val="clear"/>
    </w:tcPr>
    <w:tblStylePr w:type="firstRow">
      <w:rPr>
        <w:b w:val="1"/>
        <w:bCs w:val="1"/>
        <w:color w:val="000000" w:themeColor="text1"/>
      </w:rPr>
      <w:tblPr/>
      <w:tcPr>
        <w:shd w:color="auto" w:fill="e6e6e6" w:themeFill="tex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cccccc" w:themeFill="text1" w:themeFillTint="000033" w:val="clear"/>
      </w:tcPr>
    </w:tblStylePr>
    <w:tblStylePr w:type="band1Vert">
      <w:tblPr/>
      <w:tcPr>
        <w:shd w:color="auto" w:fill="808080" w:themeFill="text1" w:themeFillTint="00007F" w:val="clear"/>
      </w:tcPr>
    </w:tblStylePr>
    <w:tblStylePr w:type="band1Horz">
      <w:tblPr/>
      <w:tcPr>
        <w:tcBorders>
          <w:insideH w:color="000000" w:space="0" w:sz="6" w:themeColor="text1" w:val="single"/>
          <w:insideV w:color="000000" w:space="0" w:sz="6" w:themeColor="text1" w:val="single"/>
        </w:tcBorders>
        <w:shd w:color="auto" w:fill="808080" w:themeFill="text1" w:themeFillTint="00007F" w:val="clear"/>
      </w:tcPr>
    </w:tblStylePr>
    <w:tblStylePr w:type="nwCell">
      <w:tblPr/>
      <w:tcPr>
        <w:shd w:color="auto" w:fill="ffffff" w:themeFill="background1" w:val="clear"/>
      </w:tcPr>
    </w:tblStylePr>
  </w:style>
  <w:style w:type="table" w:styleId="MediumGrid2-Accent1">
    <w:name w:val="Medium Grid 2 Accent 1"/>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w="0.0" w:type="dxa"/>
        <w:left w:w="108.0" w:type="dxa"/>
        <w:bottom w:w="0.0" w:type="dxa"/>
        <w:right w:w="108.0" w:type="dxa"/>
      </w:tblCellMar>
    </w:tblPr>
    <w:tcPr>
      <w:shd w:color="auto" w:fill="d3dfee" w:themeFill="accent1" w:themeFillTint="00003F" w:val="clear"/>
    </w:tcPr>
    <w:tblStylePr w:type="firstRow">
      <w:rPr>
        <w:b w:val="1"/>
        <w:bCs w:val="1"/>
        <w:color w:val="000000" w:themeColor="text1"/>
      </w:rPr>
      <w:tblPr/>
      <w:tcPr>
        <w:shd w:color="auto" w:fill="edf2f8" w:themeFill="accen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be5f1" w:themeFill="accent1" w:themeFillTint="000033" w:val="clear"/>
      </w:tcPr>
    </w:tblStylePr>
    <w:tblStylePr w:type="band1Vert">
      <w:tblPr/>
      <w:tcPr>
        <w:shd w:color="auto" w:fill="a7bfde" w:themeFill="accent1" w:themeFillTint="0000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00007F" w:val="clear"/>
      </w:tcPr>
    </w:tblStylePr>
    <w:tblStylePr w:type="nwCell">
      <w:tblPr/>
      <w:tcPr>
        <w:shd w:color="auto" w:fill="ffffff" w:themeFill="background1" w:val="clear"/>
      </w:tcPr>
    </w:tblStylePr>
  </w:style>
  <w:style w:type="table" w:styleId="MediumGrid2-Accent2">
    <w:name w:val="Medium Grid 2 Accent 2"/>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w="0.0" w:type="dxa"/>
        <w:left w:w="108.0" w:type="dxa"/>
        <w:bottom w:w="0.0" w:type="dxa"/>
        <w:right w:w="108.0" w:type="dxa"/>
      </w:tblCellMar>
    </w:tblPr>
    <w:tcPr>
      <w:shd w:color="auto" w:fill="efd3d2" w:themeFill="accent2" w:themeFillTint="00003F" w:val="clear"/>
    </w:tcPr>
    <w:tblStylePr w:type="firstRow">
      <w:rPr>
        <w:b w:val="1"/>
        <w:bCs w:val="1"/>
        <w:color w:val="000000" w:themeColor="text1"/>
      </w:rPr>
      <w:tblPr/>
      <w:tcPr>
        <w:shd w:color="auto" w:fill="f8eded" w:themeFill="accent2"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2dbdb" w:themeFill="accent2" w:themeFillTint="000033" w:val="clear"/>
      </w:tcPr>
    </w:tblStylePr>
    <w:tblStylePr w:type="band1Vert">
      <w:tblPr/>
      <w:tcPr>
        <w:shd w:color="auto" w:fill="dfa7a6" w:themeFill="accent2" w:themeFillTint="0000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00007F" w:val="clear"/>
      </w:tcPr>
    </w:tblStylePr>
    <w:tblStylePr w:type="nwCell">
      <w:tblPr/>
      <w:tcPr>
        <w:shd w:color="auto" w:fill="ffffff" w:themeFill="background1" w:val="clear"/>
      </w:tcPr>
    </w:tblStylePr>
  </w:style>
  <w:style w:type="table" w:styleId="MediumGrid2-Accent3">
    <w:name w:val="Medium Grid 2 Accent 3"/>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w="0.0" w:type="dxa"/>
        <w:left w:w="108.0" w:type="dxa"/>
        <w:bottom w:w="0.0" w:type="dxa"/>
        <w:right w:w="108.0" w:type="dxa"/>
      </w:tblCellMar>
    </w:tblPr>
    <w:tcPr>
      <w:shd w:color="auto" w:fill="e6eed5" w:themeFill="accent3" w:themeFillTint="00003F" w:val="clear"/>
    </w:tcPr>
    <w:tblStylePr w:type="firstRow">
      <w:rPr>
        <w:b w:val="1"/>
        <w:bCs w:val="1"/>
        <w:color w:val="000000" w:themeColor="text1"/>
      </w:rPr>
      <w:tblPr/>
      <w:tcPr>
        <w:shd w:color="auto" w:fill="f5f8ee" w:themeFill="accent3"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af1dd" w:themeFill="accent3" w:themeFillTint="000033" w:val="clear"/>
      </w:tcPr>
    </w:tblStylePr>
    <w:tblStylePr w:type="band1Vert">
      <w:tblPr/>
      <w:tcPr>
        <w:shd w:color="auto" w:fill="cdddac" w:themeFill="accent3" w:themeFillTint="0000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00007F" w:val="clear"/>
      </w:tcPr>
    </w:tblStylePr>
    <w:tblStylePr w:type="nwCell">
      <w:tblPr/>
      <w:tcPr>
        <w:shd w:color="auto" w:fill="ffffff" w:themeFill="background1" w:val="clear"/>
      </w:tcPr>
    </w:tblStylePr>
  </w:style>
  <w:style w:type="table" w:styleId="MediumGrid2-Accent4">
    <w:name w:val="Medium Grid 2 Accent 4"/>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w="0.0" w:type="dxa"/>
        <w:left w:w="108.0" w:type="dxa"/>
        <w:bottom w:w="0.0" w:type="dxa"/>
        <w:right w:w="108.0" w:type="dxa"/>
      </w:tblCellMar>
    </w:tblPr>
    <w:tcPr>
      <w:shd w:color="auto" w:fill="dfd8e8" w:themeFill="accent4" w:themeFillTint="00003F" w:val="clear"/>
    </w:tcPr>
    <w:tblStylePr w:type="firstRow">
      <w:rPr>
        <w:b w:val="1"/>
        <w:bCs w:val="1"/>
        <w:color w:val="000000" w:themeColor="text1"/>
      </w:rPr>
      <w:tblPr/>
      <w:tcPr>
        <w:shd w:color="auto" w:fill="f2eff6" w:themeFill="accent4"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5dfec" w:themeFill="accent4" w:themeFillTint="000033" w:val="clear"/>
      </w:tcPr>
    </w:tblStylePr>
    <w:tblStylePr w:type="band1Vert">
      <w:tblPr/>
      <w:tcPr>
        <w:shd w:color="auto" w:fill="bfb1d0" w:themeFill="accent4" w:themeFillTint="0000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00007F" w:val="clear"/>
      </w:tcPr>
    </w:tblStylePr>
    <w:tblStylePr w:type="nwCell">
      <w:tblPr/>
      <w:tcPr>
        <w:shd w:color="auto" w:fill="ffffff" w:themeFill="background1" w:val="clear"/>
      </w:tcPr>
    </w:tblStylePr>
  </w:style>
  <w:style w:type="table" w:styleId="MediumGrid2-Accent5">
    <w:name w:val="Medium Grid 2 Accent 5"/>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w="0.0" w:type="dxa"/>
        <w:left w:w="108.0" w:type="dxa"/>
        <w:bottom w:w="0.0" w:type="dxa"/>
        <w:right w:w="108.0" w:type="dxa"/>
      </w:tblCellMar>
    </w:tblPr>
    <w:tcPr>
      <w:shd w:color="auto" w:fill="d2eaf1" w:themeFill="accent5" w:themeFillTint="00003F" w:val="clear"/>
    </w:tcPr>
    <w:tblStylePr w:type="firstRow">
      <w:rPr>
        <w:b w:val="1"/>
        <w:bCs w:val="1"/>
        <w:color w:val="000000" w:themeColor="text1"/>
      </w:rPr>
      <w:tblPr/>
      <w:tcPr>
        <w:shd w:color="auto" w:fill="edf6f9" w:themeFill="accent5"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aeef3" w:themeFill="accent5" w:themeFillTint="000033" w:val="clear"/>
      </w:tcPr>
    </w:tblStylePr>
    <w:tblStylePr w:type="band1Vert">
      <w:tblPr/>
      <w:tcPr>
        <w:shd w:color="auto" w:fill="a5d5e2" w:themeFill="accent5" w:themeFillTint="0000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00007F" w:val="clear"/>
      </w:tcPr>
    </w:tblStylePr>
    <w:tblStylePr w:type="nwCell">
      <w:tblPr/>
      <w:tcPr>
        <w:shd w:color="auto" w:fill="ffffff" w:themeFill="background1" w:val="clear"/>
      </w:tcPr>
    </w:tblStylePr>
  </w:style>
  <w:style w:type="table" w:styleId="MediumGrid2-Accent6">
    <w:name w:val="Medium Grid 2 Accent 6"/>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w="0.0" w:type="dxa"/>
        <w:left w:w="108.0" w:type="dxa"/>
        <w:bottom w:w="0.0" w:type="dxa"/>
        <w:right w:w="108.0" w:type="dxa"/>
      </w:tblCellMar>
    </w:tblPr>
    <w:tcPr>
      <w:shd w:color="auto" w:fill="fde4d0" w:themeFill="accent6" w:themeFillTint="00003F" w:val="clear"/>
    </w:tcPr>
    <w:tblStylePr w:type="firstRow">
      <w:rPr>
        <w:b w:val="1"/>
        <w:bCs w:val="1"/>
        <w:color w:val="000000" w:themeColor="text1"/>
      </w:rPr>
      <w:tblPr/>
      <w:tcPr>
        <w:shd w:color="auto" w:fill="fef4ec" w:themeFill="accent6"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de9d9" w:themeFill="accent6" w:themeFillTint="000033" w:val="clear"/>
      </w:tcPr>
    </w:tblStylePr>
    <w:tblStylePr w:type="band1Vert">
      <w:tblPr/>
      <w:tcPr>
        <w:shd w:color="auto" w:fill="fbcaa2" w:themeFill="accent6" w:themeFillTint="0000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00007F" w:val="clear"/>
      </w:tcPr>
    </w:tblStylePr>
    <w:tblStylePr w:type="nwCell">
      <w:tblPr/>
      <w:tcPr>
        <w:shd w:color="auto" w:fill="ffffff" w:themeFill="background1" w:val="clear"/>
      </w:tcPr>
    </w:tblStylePr>
  </w:style>
  <w:style w:type="table" w:styleId="MediumGrid3">
    <w:name w:val="Medium Grid 3"/>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c0c0c0" w:themeFill="tex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000000" w:themeFill="tex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808080" w:themeFill="tex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00007F" w:val="clear"/>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d3dfee" w:themeFill="accen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f81bd" w:themeFill="accen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7bfde" w:themeFill="accen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00007F" w:val="clear"/>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efd3d2" w:themeFill="accent2"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c0504d" w:themeFill="accent2"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dfa7a6" w:themeFill="accent2"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00007F" w:val="clear"/>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e6eed5" w:themeFill="accent3"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9bbb59" w:themeFill="accent3"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cdddac" w:themeFill="accent3"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00007F" w:val="clear"/>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dfd8e8" w:themeFill="accent4"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8064a2" w:themeFill="accent4"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bfb1d0" w:themeFill="accent4"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00007F" w:val="clear"/>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d2eaf1" w:themeFill="accent5"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bacc6" w:themeFill="accent5"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5d5e2" w:themeFill="accent5"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00007F" w:val="clear"/>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fde4d0" w:themeFill="accent6"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f79646" w:themeFill="accent6"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fbcaa2" w:themeFill="accent6"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00007F" w:val="clear"/>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000000" w:themeFill="tex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000000" w:themeFill="tex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000000" w:themeFill="tex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000000" w:themeFill="tex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4f81bd" w:themeFill="accen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43f60" w:themeFill="accen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65f91" w:themeFill="accen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65f91" w:themeFill="accen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c0504d" w:themeFill="accent2"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622423" w:themeFill="accent2"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943634" w:themeFill="accent2"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943634" w:themeFill="accent2"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9bbb59" w:themeFill="accent3"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4e6128" w:themeFill="accent3"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76923c" w:themeFill="accent3"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76923c" w:themeFill="accent3"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8064a2" w:themeFill="accent4"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3f3151" w:themeFill="accent4"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5f497a" w:themeFill="accent4"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5f497a" w:themeFill="accent4"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4bacc6" w:themeFill="accent5"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05867" w:themeFill="accent5"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1849b" w:themeFill="accent5"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1849b" w:themeFill="accent5"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f79646" w:themeFill="accent6"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974706" w:themeFill="accent6"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e36c0a" w:themeFill="accent6"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e36c0a" w:themeFill="accent6"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0" w:type="dxa"/>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e6e6e6" w:themeFill="tex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000000" w:themeFill="text1" w:themeFillShade="000099" w:val="clear"/>
      </w:tcPr>
    </w:tblStylePr>
    <w:tblStylePr w:type="firstCol">
      <w:rPr>
        <w:color w:val="ffffff" w:themeColor="background1"/>
      </w:rPr>
      <w:tblPr/>
      <w:tcPr>
        <w:tcBorders>
          <w:top w:space="0" w:sz="0" w:val="nil"/>
          <w:left w:space="0" w:sz="0" w:val="nil"/>
          <w:bottom w:space="0" w:sz="0" w:val="nil"/>
          <w:right w:space="0" w:sz="0" w:val="nil"/>
          <w:insideH w:color="000000" w:space="0" w:sz="4" w:themeColor="text1" w:themeShade="000099" w:val="single"/>
          <w:insideV w:space="0" w:sz="0" w:val="nil"/>
        </w:tcBorders>
        <w:shd w:color="auto" w:fill="000000" w:themeFill="tex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Vert">
      <w:tblPr/>
      <w:tcPr>
        <w:shd w:color="auto" w:fill="999999" w:themeFill="text1" w:themeFillTint="000066" w:val="clear"/>
      </w:tcPr>
    </w:tblStylePr>
    <w:tblStylePr w:type="band1Horz">
      <w:tblPr/>
      <w:tcPr>
        <w:shd w:color="auto" w:fill="808080" w:themeFill="text1" w:themeFillTint="00007F" w:val="clear"/>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0" w:type="dxa"/>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edf2f8" w:themeFill="accen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c4c74" w:themeFill="accent1" w:themeFillShade="000099" w:val="clear"/>
      </w:tcPr>
    </w:tblStylePr>
    <w:tblStylePr w:type="firstCol">
      <w:rPr>
        <w:color w:val="ffffff" w:themeColor="background1"/>
      </w:rPr>
      <w:tblPr/>
      <w:tcPr>
        <w:tcBorders>
          <w:top w:space="0" w:sz="0" w:val="nil"/>
          <w:left w:space="0" w:sz="0" w:val="nil"/>
          <w:bottom w:space="0" w:sz="0" w:val="nil"/>
          <w:right w:space="0" w:sz="0" w:val="nil"/>
          <w:insideH w:color="2c4c74" w:space="0" w:sz="4" w:themeColor="accent1" w:themeShade="000099" w:val="single"/>
          <w:insideV w:space="0" w:sz="0" w:val="nil"/>
        </w:tcBorders>
        <w:shd w:color="auto" w:fill="2c4c74" w:themeFill="accen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c4c74" w:themeFill="accent1" w:themeFillShade="000099" w:val="clear"/>
      </w:tcPr>
    </w:tblStylePr>
    <w:tblStylePr w:type="band1Vert">
      <w:tblPr/>
      <w:tcPr>
        <w:shd w:color="auto" w:fill="b8cce4" w:themeFill="accent1" w:themeFillTint="000066" w:val="clear"/>
      </w:tcPr>
    </w:tblStylePr>
    <w:tblStylePr w:type="band1Horz">
      <w:tblPr/>
      <w:tcPr>
        <w:shd w:color="auto" w:fill="a7bfde" w:themeFill="accent1" w:themeFillTint="00007F" w:val="clear"/>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0" w:type="dxa"/>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8eded" w:themeFill="accent2"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772c2a" w:themeFill="accent2" w:themeFillShade="000099" w:val="clear"/>
      </w:tcPr>
    </w:tblStylePr>
    <w:tblStylePr w:type="firstCol">
      <w:rPr>
        <w:color w:val="ffffff" w:themeColor="background1"/>
      </w:rPr>
      <w:tblPr/>
      <w:tcPr>
        <w:tcBorders>
          <w:top w:space="0" w:sz="0" w:val="nil"/>
          <w:left w:space="0" w:sz="0" w:val="nil"/>
          <w:bottom w:space="0" w:sz="0" w:val="nil"/>
          <w:right w:space="0" w:sz="0" w:val="nil"/>
          <w:insideH w:color="772c2a" w:space="0" w:sz="4" w:themeColor="accent2" w:themeShade="000099" w:val="single"/>
          <w:insideV w:space="0" w:sz="0" w:val="nil"/>
        </w:tcBorders>
        <w:shd w:color="auto" w:fill="772c2a" w:themeFill="accent2"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772c2a" w:themeFill="accent2" w:themeFillShade="000099" w:val="clear"/>
      </w:tcPr>
    </w:tblStylePr>
    <w:tblStylePr w:type="band1Vert">
      <w:tblPr/>
      <w:tcPr>
        <w:shd w:color="auto" w:fill="e5b8b7" w:themeFill="accent2" w:themeFillTint="000066" w:val="clear"/>
      </w:tcPr>
    </w:tblStylePr>
    <w:tblStylePr w:type="band1Horz">
      <w:tblPr/>
      <w:tcPr>
        <w:shd w:color="auto" w:fill="dfa7a6" w:themeFill="accent2" w:themeFillTint="00007F" w:val="clear"/>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0" w:type="dxa"/>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5f8ee" w:themeFill="accent3" w:themeFillTint="000019" w:val="clear"/>
    </w:tcPr>
    <w:tblStylePr w:type="firstRow">
      <w:rPr>
        <w:b w:val="1"/>
        <w:bCs w:val="1"/>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5e7530" w:themeFill="accent3" w:themeFillShade="000099" w:val="clear"/>
      </w:tcPr>
    </w:tblStylePr>
    <w:tblStylePr w:type="firstCol">
      <w:rPr>
        <w:color w:val="ffffff" w:themeColor="background1"/>
      </w:rPr>
      <w:tblPr/>
      <w:tcPr>
        <w:tcBorders>
          <w:top w:space="0" w:sz="0" w:val="nil"/>
          <w:left w:space="0" w:sz="0" w:val="nil"/>
          <w:bottom w:space="0" w:sz="0" w:val="nil"/>
          <w:right w:space="0" w:sz="0" w:val="nil"/>
          <w:insideH w:color="5e7530" w:space="0" w:sz="4" w:themeColor="accent3" w:themeShade="000099" w:val="single"/>
          <w:insideV w:space="0" w:sz="0" w:val="nil"/>
        </w:tcBorders>
        <w:shd w:color="auto" w:fill="5e7530" w:themeFill="accent3"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5e7530" w:themeFill="accent3" w:themeFillShade="000099" w:val="clear"/>
      </w:tcPr>
    </w:tblStylePr>
    <w:tblStylePr w:type="band1Vert">
      <w:tblPr/>
      <w:tcPr>
        <w:shd w:color="auto" w:fill="d6e3bc" w:themeFill="accent3" w:themeFillTint="000066" w:val="clear"/>
      </w:tcPr>
    </w:tblStylePr>
    <w:tblStylePr w:type="band1Horz">
      <w:tblPr/>
      <w:tcPr>
        <w:shd w:color="auto" w:fill="cdddac" w:themeFill="accent3" w:themeFillTint="00007F" w:val="clear"/>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0" w:type="dxa"/>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2eff6" w:themeFill="accent4" w:themeFillTint="000019" w:val="clear"/>
    </w:tcPr>
    <w:tblStylePr w:type="firstRow">
      <w:rPr>
        <w:b w:val="1"/>
        <w:bCs w:val="1"/>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4c3b62" w:themeFill="accent4" w:themeFillShade="000099" w:val="clear"/>
      </w:tcPr>
    </w:tblStylePr>
    <w:tblStylePr w:type="firstCol">
      <w:rPr>
        <w:color w:val="ffffff" w:themeColor="background1"/>
      </w:rPr>
      <w:tblPr/>
      <w:tcPr>
        <w:tcBorders>
          <w:top w:space="0" w:sz="0" w:val="nil"/>
          <w:left w:space="0" w:sz="0" w:val="nil"/>
          <w:bottom w:space="0" w:sz="0" w:val="nil"/>
          <w:right w:space="0" w:sz="0" w:val="nil"/>
          <w:insideH w:color="4c3b62" w:space="0" w:sz="4" w:themeColor="accent4" w:themeShade="000099" w:val="single"/>
          <w:insideV w:space="0" w:sz="0" w:val="nil"/>
        </w:tcBorders>
        <w:shd w:color="auto" w:fill="4c3b62" w:themeFill="accent4"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4c3b62" w:themeFill="accent4" w:themeFillShade="000099" w:val="clear"/>
      </w:tcPr>
    </w:tblStylePr>
    <w:tblStylePr w:type="band1Vert">
      <w:tblPr/>
      <w:tcPr>
        <w:shd w:color="auto" w:fill="ccc0d9" w:themeFill="accent4" w:themeFillTint="000066" w:val="clear"/>
      </w:tcPr>
    </w:tblStylePr>
    <w:tblStylePr w:type="band1Horz">
      <w:tblPr/>
      <w:tcPr>
        <w:shd w:color="auto" w:fill="bfb1d0" w:themeFill="accent4" w:themeFillTint="00007F" w:val="clear"/>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0" w:type="dxa"/>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edf6f9" w:themeFill="accent5" w:themeFillTint="000019" w:val="clear"/>
    </w:tcPr>
    <w:tblStylePr w:type="firstRow">
      <w:rPr>
        <w:b w:val="1"/>
        <w:bCs w:val="1"/>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76a7c" w:themeFill="accent5" w:themeFillShade="000099" w:val="clear"/>
      </w:tcPr>
    </w:tblStylePr>
    <w:tblStylePr w:type="firstCol">
      <w:rPr>
        <w:color w:val="ffffff" w:themeColor="background1"/>
      </w:rPr>
      <w:tblPr/>
      <w:tcPr>
        <w:tcBorders>
          <w:top w:space="0" w:sz="0" w:val="nil"/>
          <w:left w:space="0" w:sz="0" w:val="nil"/>
          <w:bottom w:space="0" w:sz="0" w:val="nil"/>
          <w:right w:space="0" w:sz="0" w:val="nil"/>
          <w:insideH w:color="276a7c" w:space="0" w:sz="4" w:themeColor="accent5" w:themeShade="000099" w:val="single"/>
          <w:insideV w:space="0" w:sz="0" w:val="nil"/>
        </w:tcBorders>
        <w:shd w:color="auto" w:fill="276a7c" w:themeFill="accent5"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76a7c" w:themeFill="accent5" w:themeFillShade="000099" w:val="clear"/>
      </w:tcPr>
    </w:tblStylePr>
    <w:tblStylePr w:type="band1Vert">
      <w:tblPr/>
      <w:tcPr>
        <w:shd w:color="auto" w:fill="b6dde8" w:themeFill="accent5" w:themeFillTint="000066" w:val="clear"/>
      </w:tcPr>
    </w:tblStylePr>
    <w:tblStylePr w:type="band1Horz">
      <w:tblPr/>
      <w:tcPr>
        <w:shd w:color="auto" w:fill="a5d5e2" w:themeFill="accent5" w:themeFillTint="00007F" w:val="clear"/>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0" w:type="dxa"/>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ef4ec" w:themeFill="accent6" w:themeFillTint="000019" w:val="clear"/>
    </w:tcPr>
    <w:tblStylePr w:type="firstRow">
      <w:rPr>
        <w:b w:val="1"/>
        <w:bCs w:val="1"/>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b65608" w:themeFill="accent6" w:themeFillShade="000099" w:val="clear"/>
      </w:tcPr>
    </w:tblStylePr>
    <w:tblStylePr w:type="firstCol">
      <w:rPr>
        <w:color w:val="ffffff" w:themeColor="background1"/>
      </w:rPr>
      <w:tblPr/>
      <w:tcPr>
        <w:tcBorders>
          <w:top w:space="0" w:sz="0" w:val="nil"/>
          <w:left w:space="0" w:sz="0" w:val="nil"/>
          <w:bottom w:space="0" w:sz="0" w:val="nil"/>
          <w:right w:space="0" w:sz="0" w:val="nil"/>
          <w:insideH w:color="b65608" w:space="0" w:sz="4" w:themeColor="accent6" w:themeShade="000099" w:val="single"/>
          <w:insideV w:space="0" w:sz="0" w:val="nil"/>
        </w:tcBorders>
        <w:shd w:color="auto" w:fill="b65608" w:themeFill="accent6"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b65608" w:themeFill="accent6" w:themeFillShade="000099" w:val="clear"/>
      </w:tcPr>
    </w:tblStylePr>
    <w:tblStylePr w:type="band1Vert">
      <w:tblPr/>
      <w:tcPr>
        <w:shd w:color="auto" w:fill="fbd4b4" w:themeFill="accent6" w:themeFillTint="000066" w:val="clear"/>
      </w:tcPr>
    </w:tblStylePr>
    <w:tblStylePr w:type="band1Horz">
      <w:tblPr/>
      <w:tcPr>
        <w:shd w:color="auto" w:fill="fbcaa2" w:themeFill="accent6" w:themeFillTint="00007F" w:val="clear"/>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e6e6e6" w:themeFill="tex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c0c0c0" w:themeFill="text1" w:themeFillTint="00003F" w:val="clear"/>
      </w:tcPr>
    </w:tblStylePr>
    <w:tblStylePr w:type="band1Horz">
      <w:tblPr/>
      <w:tcPr>
        <w:shd w:color="auto" w:fill="cccccc" w:themeFill="text1" w:themeFillTint="000033" w:val="clear"/>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edf2f8" w:themeFill="accen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3dfee" w:themeFill="accent1" w:themeFillTint="00003F" w:val="clear"/>
      </w:tcPr>
    </w:tblStylePr>
    <w:tblStylePr w:type="band1Horz">
      <w:tblPr/>
      <w:tcPr>
        <w:shd w:color="auto" w:fill="dbe5f1" w:themeFill="accent1" w:themeFillTint="000033" w:val="clear"/>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8eded" w:themeFill="accent2"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fd3d2" w:themeFill="accent2" w:themeFillTint="00003F" w:val="clear"/>
      </w:tcPr>
    </w:tblStylePr>
    <w:tblStylePr w:type="band1Horz">
      <w:tblPr/>
      <w:tcPr>
        <w:shd w:color="auto" w:fill="f2dbdb" w:themeFill="accent2" w:themeFillTint="000033" w:val="clear"/>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5f8ee" w:themeFill="accent3" w:themeFillTint="000019" w:val="clear"/>
    </w:tcPr>
    <w:tblStylePr w:type="firstRow">
      <w:rPr>
        <w:b w:val="1"/>
        <w:bCs w:val="1"/>
        <w:color w:val="ffffff" w:themeColor="background1"/>
      </w:rPr>
      <w:tblPr/>
      <w:tcPr>
        <w:tcBorders>
          <w:bottom w:color="ffffff" w:space="0" w:sz="12" w:themeColor="background1" w:val="single"/>
        </w:tcBorders>
        <w:shd w:color="auto" w:fill="664e82" w:themeFill="accent4" w:themeFillShade="0000CC" w:val="clear"/>
      </w:tcPr>
    </w:tblStylePr>
    <w:tblStylePr w:type="lastRow">
      <w:rPr>
        <w:b w:val="1"/>
        <w:bCs w:val="1"/>
        <w:color w:val="664e82" w:themeColor="accent4"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6eed5" w:themeFill="accent3" w:themeFillTint="00003F" w:val="clear"/>
      </w:tcPr>
    </w:tblStylePr>
    <w:tblStylePr w:type="band1Horz">
      <w:tblPr/>
      <w:tcPr>
        <w:shd w:color="auto" w:fill="eaf1dd" w:themeFill="accent3" w:themeFillTint="000033" w:val="clear"/>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2eff6" w:themeFill="accent4" w:themeFillTint="000019" w:val="clear"/>
    </w:tcPr>
    <w:tblStylePr w:type="firstRow">
      <w:rPr>
        <w:b w:val="1"/>
        <w:bCs w:val="1"/>
        <w:color w:val="ffffff" w:themeColor="background1"/>
      </w:rPr>
      <w:tblPr/>
      <w:tcPr>
        <w:tcBorders>
          <w:bottom w:color="ffffff" w:space="0" w:sz="12" w:themeColor="background1" w:val="single"/>
        </w:tcBorders>
        <w:shd w:color="auto" w:fill="7e9c40" w:themeFill="accent3" w:themeFillShade="0000CC" w:val="clear"/>
      </w:tcPr>
    </w:tblStylePr>
    <w:tblStylePr w:type="lastRow">
      <w:rPr>
        <w:b w:val="1"/>
        <w:bCs w:val="1"/>
        <w:color w:val="7e9c40" w:themeColor="accent3"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fd8e8" w:themeFill="accent4" w:themeFillTint="00003F" w:val="clear"/>
      </w:tcPr>
    </w:tblStylePr>
    <w:tblStylePr w:type="band1Horz">
      <w:tblPr/>
      <w:tcPr>
        <w:shd w:color="auto" w:fill="e5dfec" w:themeFill="accent4" w:themeFillTint="000033" w:val="clear"/>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edf6f9" w:themeFill="accent5" w:themeFillTint="000019" w:val="clear"/>
    </w:tcPr>
    <w:tblStylePr w:type="firstRow">
      <w:rPr>
        <w:b w:val="1"/>
        <w:bCs w:val="1"/>
        <w:color w:val="ffffff" w:themeColor="background1"/>
      </w:rPr>
      <w:tblPr/>
      <w:tcPr>
        <w:tcBorders>
          <w:bottom w:color="ffffff" w:space="0" w:sz="12" w:themeColor="background1" w:val="single"/>
        </w:tcBorders>
        <w:shd w:color="auto" w:fill="f2730a" w:themeFill="accent6" w:themeFillShade="0000CC" w:val="clear"/>
      </w:tcPr>
    </w:tblStylePr>
    <w:tblStylePr w:type="lastRow">
      <w:rPr>
        <w:b w:val="1"/>
        <w:bCs w:val="1"/>
        <w:color w:val="f2730a" w:themeColor="accent6"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2eaf1" w:themeFill="accent5" w:themeFillTint="00003F" w:val="clear"/>
      </w:tcPr>
    </w:tblStylePr>
    <w:tblStylePr w:type="band1Horz">
      <w:tblPr/>
      <w:tcPr>
        <w:shd w:color="auto" w:fill="daeef3" w:themeFill="accent5" w:themeFillTint="000033" w:val="clear"/>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ef4ec" w:themeFill="accent6" w:themeFillTint="000019" w:val="clear"/>
    </w:tcPr>
    <w:tblStylePr w:type="firstRow">
      <w:rPr>
        <w:b w:val="1"/>
        <w:bCs w:val="1"/>
        <w:color w:val="ffffff" w:themeColor="background1"/>
      </w:rPr>
      <w:tblPr/>
      <w:tcPr>
        <w:tcBorders>
          <w:bottom w:color="ffffff" w:space="0" w:sz="12" w:themeColor="background1" w:val="single"/>
        </w:tcBorders>
        <w:shd w:color="auto" w:fill="348da5" w:themeFill="accent5" w:themeFillShade="0000CC" w:val="clear"/>
      </w:tcPr>
    </w:tblStylePr>
    <w:tblStylePr w:type="lastRow">
      <w:rPr>
        <w:b w:val="1"/>
        <w:bCs w:val="1"/>
        <w:color w:val="348da5" w:themeColor="accent5"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fde4d0" w:themeFill="accent6" w:themeFillTint="00003F" w:val="clear"/>
      </w:tcPr>
    </w:tblStylePr>
    <w:tblStylePr w:type="band1Horz">
      <w:tblPr/>
      <w:tcPr>
        <w:shd w:color="auto" w:fill="fde9d9" w:themeFill="accent6" w:themeFillTint="000033" w:val="clear"/>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cccccc" w:themeFill="text1" w:themeFillTint="000033" w:val="clear"/>
    </w:tcPr>
    <w:tblStylePr w:type="firstRow">
      <w:rPr>
        <w:b w:val="1"/>
        <w:bCs w:val="1"/>
      </w:rPr>
      <w:tblPr/>
      <w:tcPr>
        <w:shd w:color="auto" w:fill="999999" w:themeFill="text1" w:themeFillTint="000066" w:val="clear"/>
      </w:tcPr>
    </w:tblStylePr>
    <w:tblStylePr w:type="lastRow">
      <w:rPr>
        <w:b w:val="1"/>
        <w:bCs w:val="1"/>
        <w:color w:val="000000" w:themeColor="text1"/>
      </w:rPr>
      <w:tblPr/>
      <w:tcPr>
        <w:shd w:color="auto" w:fill="999999" w:themeFill="text1" w:themeFillTint="000066" w:val="clear"/>
      </w:tcPr>
    </w:tblStylePr>
    <w:tblStylePr w:type="firstCol">
      <w:rPr>
        <w:color w:val="ffffff" w:themeColor="background1"/>
      </w:rPr>
      <w:tblPr/>
      <w:tcPr>
        <w:shd w:color="auto" w:fill="000000" w:themeFill="text1" w:themeFillShade="0000BF" w:val="clear"/>
      </w:tcPr>
    </w:tblStylePr>
    <w:tblStylePr w:type="lastCol">
      <w:rPr>
        <w:color w:val="ffffff" w:themeColor="background1"/>
      </w:rPr>
      <w:tblPr/>
      <w:tcPr>
        <w:shd w:color="auto" w:fill="000000" w:themeFill="text1" w:themeFillShade="0000BF" w:val="clear"/>
      </w:tc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dbe5f1" w:themeFill="accent1" w:themeFillTint="000033" w:val="clear"/>
    </w:tcPr>
    <w:tblStylePr w:type="firstRow">
      <w:rPr>
        <w:b w:val="1"/>
        <w:bCs w:val="1"/>
      </w:rPr>
      <w:tblPr/>
      <w:tcPr>
        <w:shd w:color="auto" w:fill="b8cce4" w:themeFill="accent1" w:themeFillTint="000066" w:val="clear"/>
      </w:tcPr>
    </w:tblStylePr>
    <w:tblStylePr w:type="lastRow">
      <w:rPr>
        <w:b w:val="1"/>
        <w:bCs w:val="1"/>
        <w:color w:val="000000" w:themeColor="text1"/>
      </w:rPr>
      <w:tblPr/>
      <w:tcPr>
        <w:shd w:color="auto" w:fill="b8cce4" w:themeFill="accent1" w:themeFillTint="000066" w:val="clear"/>
      </w:tcPr>
    </w:tblStylePr>
    <w:tblStylePr w:type="firstCol">
      <w:rPr>
        <w:color w:val="ffffff" w:themeColor="background1"/>
      </w:rPr>
      <w:tblPr/>
      <w:tcPr>
        <w:shd w:color="auto" w:fill="365f91" w:themeFill="accent1" w:themeFillShade="0000BF" w:val="clear"/>
      </w:tcPr>
    </w:tblStylePr>
    <w:tblStylePr w:type="lastCol">
      <w:rPr>
        <w:color w:val="ffffff" w:themeColor="background1"/>
      </w:rPr>
      <w:tblPr/>
      <w:tcPr>
        <w:shd w:color="auto" w:fill="365f91" w:themeFill="accent1" w:themeFillShade="0000BF" w:val="clear"/>
      </w:tc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f2dbdb" w:themeFill="accent2" w:themeFillTint="000033" w:val="clear"/>
    </w:tcPr>
    <w:tblStylePr w:type="firstRow">
      <w:rPr>
        <w:b w:val="1"/>
        <w:bCs w:val="1"/>
      </w:rPr>
      <w:tblPr/>
      <w:tcPr>
        <w:shd w:color="auto" w:fill="e5b8b7" w:themeFill="accent2" w:themeFillTint="000066" w:val="clear"/>
      </w:tcPr>
    </w:tblStylePr>
    <w:tblStylePr w:type="lastRow">
      <w:rPr>
        <w:b w:val="1"/>
        <w:bCs w:val="1"/>
        <w:color w:val="000000" w:themeColor="text1"/>
      </w:rPr>
      <w:tblPr/>
      <w:tcPr>
        <w:shd w:color="auto" w:fill="e5b8b7" w:themeFill="accent2" w:themeFillTint="000066" w:val="clear"/>
      </w:tcPr>
    </w:tblStylePr>
    <w:tblStylePr w:type="firstCol">
      <w:rPr>
        <w:color w:val="ffffff" w:themeColor="background1"/>
      </w:rPr>
      <w:tblPr/>
      <w:tcPr>
        <w:shd w:color="auto" w:fill="943634" w:themeFill="accent2" w:themeFillShade="0000BF" w:val="clear"/>
      </w:tcPr>
    </w:tblStylePr>
    <w:tblStylePr w:type="lastCol">
      <w:rPr>
        <w:color w:val="ffffff" w:themeColor="background1"/>
      </w:rPr>
      <w:tblPr/>
      <w:tcPr>
        <w:shd w:color="auto" w:fill="943634" w:themeFill="accent2" w:themeFillShade="0000BF" w:val="clear"/>
      </w:tc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eaf1dd" w:themeFill="accent3" w:themeFillTint="000033" w:val="clear"/>
    </w:tcPr>
    <w:tblStylePr w:type="firstRow">
      <w:rPr>
        <w:b w:val="1"/>
        <w:bCs w:val="1"/>
      </w:rPr>
      <w:tblPr/>
      <w:tcPr>
        <w:shd w:color="auto" w:fill="d6e3bc" w:themeFill="accent3" w:themeFillTint="000066" w:val="clear"/>
      </w:tcPr>
    </w:tblStylePr>
    <w:tblStylePr w:type="lastRow">
      <w:rPr>
        <w:b w:val="1"/>
        <w:bCs w:val="1"/>
        <w:color w:val="000000" w:themeColor="text1"/>
      </w:rPr>
      <w:tblPr/>
      <w:tcPr>
        <w:shd w:color="auto" w:fill="d6e3bc" w:themeFill="accent3" w:themeFillTint="000066" w:val="clear"/>
      </w:tcPr>
    </w:tblStylePr>
    <w:tblStylePr w:type="firstCol">
      <w:rPr>
        <w:color w:val="ffffff" w:themeColor="background1"/>
      </w:rPr>
      <w:tblPr/>
      <w:tcPr>
        <w:shd w:color="auto" w:fill="76923c" w:themeFill="accent3" w:themeFillShade="0000BF" w:val="clear"/>
      </w:tcPr>
    </w:tblStylePr>
    <w:tblStylePr w:type="lastCol">
      <w:rPr>
        <w:color w:val="ffffff" w:themeColor="background1"/>
      </w:rPr>
      <w:tblPr/>
      <w:tcPr>
        <w:shd w:color="auto" w:fill="76923c" w:themeFill="accent3" w:themeFillShade="0000BF" w:val="clear"/>
      </w:tc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e5dfec" w:themeFill="accent4" w:themeFillTint="000033" w:val="clear"/>
    </w:tcPr>
    <w:tblStylePr w:type="firstRow">
      <w:rPr>
        <w:b w:val="1"/>
        <w:bCs w:val="1"/>
      </w:rPr>
      <w:tblPr/>
      <w:tcPr>
        <w:shd w:color="auto" w:fill="ccc0d9" w:themeFill="accent4" w:themeFillTint="000066" w:val="clear"/>
      </w:tcPr>
    </w:tblStylePr>
    <w:tblStylePr w:type="lastRow">
      <w:rPr>
        <w:b w:val="1"/>
        <w:bCs w:val="1"/>
        <w:color w:val="000000" w:themeColor="text1"/>
      </w:rPr>
      <w:tblPr/>
      <w:tcPr>
        <w:shd w:color="auto" w:fill="ccc0d9" w:themeFill="accent4" w:themeFillTint="000066" w:val="clear"/>
      </w:tcPr>
    </w:tblStylePr>
    <w:tblStylePr w:type="firstCol">
      <w:rPr>
        <w:color w:val="ffffff" w:themeColor="background1"/>
      </w:rPr>
      <w:tblPr/>
      <w:tcPr>
        <w:shd w:color="auto" w:fill="5f497a" w:themeFill="accent4" w:themeFillShade="0000BF" w:val="clear"/>
      </w:tcPr>
    </w:tblStylePr>
    <w:tblStylePr w:type="lastCol">
      <w:rPr>
        <w:color w:val="ffffff" w:themeColor="background1"/>
      </w:rPr>
      <w:tblPr/>
      <w:tcPr>
        <w:shd w:color="auto" w:fill="5f497a" w:themeFill="accent4" w:themeFillShade="0000BF" w:val="clear"/>
      </w:tc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daeef3" w:themeFill="accent5" w:themeFillTint="000033" w:val="clear"/>
    </w:tcPr>
    <w:tblStylePr w:type="firstRow">
      <w:rPr>
        <w:b w:val="1"/>
        <w:bCs w:val="1"/>
      </w:rPr>
      <w:tblPr/>
      <w:tcPr>
        <w:shd w:color="auto" w:fill="b6dde8" w:themeFill="accent5" w:themeFillTint="000066" w:val="clear"/>
      </w:tcPr>
    </w:tblStylePr>
    <w:tblStylePr w:type="lastRow">
      <w:rPr>
        <w:b w:val="1"/>
        <w:bCs w:val="1"/>
        <w:color w:val="000000" w:themeColor="text1"/>
      </w:rPr>
      <w:tblPr/>
      <w:tcPr>
        <w:shd w:color="auto" w:fill="b6dde8" w:themeFill="accent5" w:themeFillTint="000066" w:val="clear"/>
      </w:tcPr>
    </w:tblStylePr>
    <w:tblStylePr w:type="firstCol">
      <w:rPr>
        <w:color w:val="ffffff" w:themeColor="background1"/>
      </w:rPr>
      <w:tblPr/>
      <w:tcPr>
        <w:shd w:color="auto" w:fill="31849b" w:themeFill="accent5" w:themeFillShade="0000BF" w:val="clear"/>
      </w:tcPr>
    </w:tblStylePr>
    <w:tblStylePr w:type="lastCol">
      <w:rPr>
        <w:color w:val="ffffff" w:themeColor="background1"/>
      </w:rPr>
      <w:tblPr/>
      <w:tcPr>
        <w:shd w:color="auto" w:fill="31849b" w:themeFill="accent5" w:themeFillShade="0000BF" w:val="clear"/>
      </w:tc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fde9d9" w:themeFill="accent6" w:themeFillTint="000033" w:val="clear"/>
    </w:tcPr>
    <w:tblStylePr w:type="firstRow">
      <w:rPr>
        <w:b w:val="1"/>
        <w:bCs w:val="1"/>
      </w:rPr>
      <w:tblPr/>
      <w:tcPr>
        <w:shd w:color="auto" w:fill="fbd4b4" w:themeFill="accent6" w:themeFillTint="000066" w:val="clear"/>
      </w:tcPr>
    </w:tblStylePr>
    <w:tblStylePr w:type="lastRow">
      <w:rPr>
        <w:b w:val="1"/>
        <w:bCs w:val="1"/>
        <w:color w:val="000000" w:themeColor="text1"/>
      </w:rPr>
      <w:tblPr/>
      <w:tcPr>
        <w:shd w:color="auto" w:fill="fbd4b4" w:themeFill="accent6" w:themeFillTint="000066" w:val="clear"/>
      </w:tcPr>
    </w:tblStylePr>
    <w:tblStylePr w:type="firstCol">
      <w:rPr>
        <w:color w:val="ffffff" w:themeColor="background1"/>
      </w:rPr>
      <w:tblPr/>
      <w:tcPr>
        <w:shd w:color="auto" w:fill="e36c0a" w:themeFill="accent6" w:themeFillShade="0000BF" w:val="clear"/>
      </w:tcPr>
    </w:tblStylePr>
    <w:tblStylePr w:type="lastCol">
      <w:rPr>
        <w:color w:val="ffffff" w:themeColor="background1"/>
      </w:rPr>
      <w:tblPr/>
      <w:tcPr>
        <w:shd w:color="auto" w:fill="e36c0a" w:themeFill="accent6" w:themeFillShade="0000BF" w:val="clear"/>
      </w:tc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paragraph" w:styleId="Subtitle">
    <w:name w:val="Subtitle"/>
    <w:basedOn w:val="Normal"/>
    <w:next w:val="Normal"/>
    <w:pPr/>
    <w:rPr>
      <w:rFonts w:ascii="Calibri" w:cs="Calibri" w:eastAsia="Calibri" w:hAnsi="Calibri"/>
      <w:i w:val="1"/>
      <w:iCs w:val="1"/>
      <w:color w:val="4f81bd"/>
      <w:sz w:val="24"/>
      <w:szCs w:val="24"/>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ALldpTboKSwEyXiAbnat7cLZHQ==">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JQoBNhIgCh4IB0IaCg9UaW1lcyBOZXcgUm9tYW4SB0d1bmdzdWg4AHIhMTU4RVh1QmQ2cEhwSG1wY2RpS0tOR0hiai1sN2xuMmV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cp:coreProperties>
</file>