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spacing w:after="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56"/>
          <w:szCs w:val="56"/>
          <w:rtl w:val="0"/>
        </w:rPr>
        <w:t xml:space="preserve">ARCTIC LEDGER</w:t>
      </w:r>
      <w:r w:rsidDel="00000000" w:rsidR="00000000" w:rsidRPr="00000000">
        <w:rPr>
          <w:rtl w:val="0"/>
        </w:rPr>
      </w:r>
    </w:p>
    <w:p w:rsidR="00000000" w:rsidDel="00000000" w:rsidP="00000000" w:rsidRDefault="00000000" w:rsidRPr="00000000" w14:paraId="00000003">
      <w:pPr>
        <w:spacing w:after="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A JOURNAL OF GEOPOLITICAL RISK &amp; GREAT POWER COMPETITION</w:t>
      </w:r>
      <w:r w:rsidDel="00000000" w:rsidR="00000000" w:rsidRPr="00000000">
        <w:rPr>
          <w:rtl w:val="0"/>
        </w:rPr>
      </w:r>
    </w:p>
    <w:p w:rsidR="00000000" w:rsidDel="00000000" w:rsidP="00000000" w:rsidRDefault="00000000" w:rsidRPr="00000000" w14:paraId="00000004">
      <w:pPr>
        <w:spacing w:after="100" w:before="40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VOLUME I · NO. 1</w:t>
      </w:r>
    </w:p>
    <w:p w:rsidR="00000000" w:rsidDel="00000000" w:rsidP="00000000" w:rsidRDefault="00000000" w:rsidRPr="00000000" w14:paraId="00000005">
      <w:pPr>
        <w:spacing w:after="100" w:before="4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JULY – AUGUST 2026</w:t>
      </w:r>
      <w:r w:rsidDel="00000000" w:rsidR="00000000" w:rsidRPr="00000000">
        <w:rPr>
          <w:rtl w:val="0"/>
        </w:rPr>
      </w:r>
    </w:p>
    <w:p w:rsidR="00000000" w:rsidDel="00000000" w:rsidP="00000000" w:rsidRDefault="00000000" w:rsidRPr="00000000" w14:paraId="00000006">
      <w:pPr>
        <w:spacing w:after="80" w:before="5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30"/>
          <w:szCs w:val="30"/>
          <w:rtl w:val="0"/>
        </w:rPr>
        <w:t xml:space="preserve">Chokepoints, Corridors, and Concessions</w:t>
      </w:r>
      <w:r w:rsidDel="00000000" w:rsidR="00000000" w:rsidRPr="00000000">
        <w:rPr>
          <w:rtl w:val="0"/>
        </w:rPr>
      </w:r>
    </w:p>
    <w:p w:rsidR="00000000" w:rsidDel="00000000" w:rsidP="00000000" w:rsidRDefault="00000000" w:rsidRPr="00000000" w14:paraId="00000007">
      <w:pPr>
        <w:spacing w:after="1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rtl w:val="0"/>
        </w:rPr>
        <w:t xml:space="preserve">China's Structural Statecraft Across Eurasia, the Americas, and the Indo-Pacific</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bCs w:val="1"/>
          <w:color w:val="000000"/>
          <w:sz w:val="56"/>
          <w:szCs w:val="56"/>
        </w:rPr>
      </w:pPr>
      <w:r w:rsidDel="00000000" w:rsidR="00000000" w:rsidRPr="00000000">
        <w:br w:type="page"/>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EDITOR'S NOTE</w:t>
      </w:r>
      <w:r w:rsidDel="00000000" w:rsidR="00000000" w:rsidRPr="00000000">
        <w:rPr>
          <w:rtl w:val="0"/>
        </w:rPr>
      </w:r>
    </w:p>
    <w:p w:rsidR="00000000" w:rsidDel="00000000" w:rsidP="00000000" w:rsidRDefault="00000000" w:rsidRPr="00000000" w14:paraId="0000000B">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Volume I gathers </w:t>
      </w:r>
      <w:r w:rsidDel="00000000" w:rsidR="00000000" w:rsidRPr="00000000">
        <w:rPr>
          <w:rtl w:val="0"/>
        </w:rPr>
        <w:t xml:space="preserve">seven</w:t>
      </w:r>
      <w:r w:rsidDel="00000000" w:rsidR="00000000" w:rsidRPr="00000000">
        <w:rPr>
          <w:rFonts w:ascii="Times New Roman" w:cs="Times New Roman" w:eastAsia="Times New Roman" w:hAnsi="Times New Roman"/>
          <w:sz w:val="22"/>
          <w:szCs w:val="22"/>
          <w:rtl w:val="0"/>
        </w:rPr>
        <w:t xml:space="preserve"> essays that, on the surface, span disconnected geographies and domains: a nickel supply chain in Indonesia, a Politburo economic doctrine in Beijing, an AI standards body in Geneva, the Clarion-Clipperton seabed, the cold and complex strategy of the Arctic, humid Latin American jungles, and the political volatility of Balochistan. What </w:t>
      </w:r>
      <w:r w:rsidDel="00000000" w:rsidR="00000000" w:rsidRPr="00000000">
        <w:rPr>
          <w:rtl w:val="0"/>
        </w:rPr>
        <w:t xml:space="preserve">tethers</w:t>
      </w:r>
      <w:r w:rsidDel="00000000" w:rsidR="00000000" w:rsidRPr="00000000">
        <w:rPr>
          <w:rFonts w:ascii="Times New Roman" w:cs="Times New Roman" w:eastAsia="Times New Roman" w:hAnsi="Times New Roman"/>
          <w:sz w:val="22"/>
          <w:szCs w:val="22"/>
          <w:rtl w:val="0"/>
        </w:rPr>
        <w:t xml:space="preserve"> them is a single structural logic rather than a shared region.</w:t>
      </w:r>
      <w:r w:rsidDel="00000000" w:rsidR="00000000" w:rsidRPr="00000000">
        <w:rPr>
          <w:rtl w:val="0"/>
        </w:rPr>
      </w:r>
    </w:p>
    <w:p w:rsidR="00000000" w:rsidDel="00000000" w:rsidP="00000000" w:rsidRDefault="00000000" w:rsidRPr="00000000" w14:paraId="0000000C">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Across each of these cases, the essays in this volume argue that China's approach to great power competition is built less on direct conquest than on architecture, such as the mines, ports, cables, processing facilities, and technical standards through which commercial access is subtly converted into strategic alignment. A port financed today becomes a naval consideration tomorrow; a processing monopoly becomes a bargaining chip; a technical standard becomes a dependency. "Chokepoints, Corridors, and Concessions" is our attempt to name that pattern across the range of theaters where it is currently unfolding.</w:t>
      </w:r>
      <w:r w:rsidDel="00000000" w:rsidR="00000000" w:rsidRPr="00000000">
        <w:rPr>
          <w:rtl w:val="0"/>
        </w:rPr>
      </w:r>
    </w:p>
    <w:p w:rsidR="00000000" w:rsidDel="00000000" w:rsidP="00000000" w:rsidRDefault="00000000" w:rsidRPr="00000000" w14:paraId="0000000D">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Our contributors in this volume bring fieldwork, language training, and disciplinary range to that project, from a construction site in rural Nicaragua to the technical literature on AI governance standards. My thanks to each of them, and to the institutions that have supported their research.</w:t>
      </w:r>
      <w:r w:rsidDel="00000000" w:rsidR="00000000" w:rsidRPr="00000000">
        <w:rPr>
          <w:rtl w:val="0"/>
        </w:rPr>
      </w:r>
    </w:p>
    <w:p w:rsidR="00000000" w:rsidDel="00000000" w:rsidP="00000000" w:rsidRDefault="00000000" w:rsidRPr="00000000" w14:paraId="0000000E">
      <w:pPr>
        <w:spacing w:after="1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Jack M. Lindstrom — Founder &amp; Publisher, Arctic Ledger</w:t>
      </w: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CONTRIBUTING INSTITUTIONS</w:t>
      </w:r>
      <w:r w:rsidDel="00000000" w:rsidR="00000000" w:rsidRPr="00000000">
        <w:rPr>
          <w:rtl w:val="0"/>
        </w:rPr>
      </w:r>
    </w:p>
    <w:p w:rsidR="00000000" w:rsidDel="00000000" w:rsidP="00000000" w:rsidRDefault="00000000" w:rsidRPr="00000000" w14:paraId="00000011">
      <w:pPr>
        <w:spacing w:after="160" w:line="276" w:lineRule="auto"/>
        <w:jc w:val="both"/>
        <w:rPr/>
      </w:pPr>
      <w:r w:rsidDel="00000000" w:rsidR="00000000" w:rsidRPr="00000000">
        <w:rPr>
          <w:sz w:val="22"/>
          <w:szCs w:val="22"/>
          <w:rtl w:val="0"/>
        </w:rPr>
        <w:t xml:space="preserve">UC San Diego School of Global Policy and Strategy (GPS) · UC San Diego Rady School of Management · Arizona State University (ASU EPICS) · American University · Centre for East Asian Studies, University of Turku, Finland · Quaid-i-Azam University, Islamabad · University of Moratuwa, Sri Lanka · The Australian National University · The Mackinder Forum · The Eurasia Center</w:t>
      </w:r>
      <w:r w:rsidDel="00000000" w:rsidR="00000000" w:rsidRPr="00000000">
        <w:rPr>
          <w:rtl w:val="0"/>
        </w:rPr>
      </w:r>
    </w:p>
    <w:p w:rsidR="00000000" w:rsidDel="00000000" w:rsidP="00000000" w:rsidRDefault="00000000" w:rsidRPr="00000000" w14:paraId="00000012">
      <w:pPr>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HOW TO CITE THIS VOLUME</w:t>
      </w:r>
      <w:r w:rsidDel="00000000" w:rsidR="00000000" w:rsidRPr="00000000">
        <w:rPr>
          <w:rtl w:val="0"/>
        </w:rPr>
      </w:r>
    </w:p>
    <w:p w:rsidR="00000000" w:rsidDel="00000000" w:rsidP="00000000" w:rsidRDefault="00000000" w:rsidRPr="00000000" w14:paraId="00000014">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Volume citation:</w:t>
      </w:r>
      <w:r w:rsidDel="00000000" w:rsidR="00000000" w:rsidRPr="00000000">
        <w:rPr>
          <w:rtl w:val="0"/>
        </w:rPr>
      </w:r>
    </w:p>
    <w:p w:rsidR="00000000" w:rsidDel="00000000" w:rsidP="00000000" w:rsidRDefault="00000000" w:rsidRPr="00000000" w14:paraId="00000015">
      <w:pPr>
        <w:spacing w:after="160" w:line="276" w:lineRule="auto"/>
        <w:jc w:val="both"/>
        <w:rPr/>
      </w:pPr>
      <w:r w:rsidDel="00000000" w:rsidR="00000000" w:rsidRPr="00000000">
        <w:rPr>
          <w:sz w:val="22"/>
          <w:szCs w:val="22"/>
          <w:rtl w:val="0"/>
        </w:rPr>
        <w:t xml:space="preserve">Lindstrom, Jack M., ed. Arctic Ledger, Vol. I. July–August 2026.</w:t>
      </w:r>
      <w:r w:rsidDel="00000000" w:rsidR="00000000" w:rsidRPr="00000000">
        <w:rPr>
          <w:rtl w:val="0"/>
        </w:rPr>
      </w:r>
    </w:p>
    <w:p w:rsidR="00000000" w:rsidDel="00000000" w:rsidP="00000000" w:rsidRDefault="00000000" w:rsidRPr="00000000" w14:paraId="00000016">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Individual article citation (example):</w:t>
      </w:r>
      <w:r w:rsidDel="00000000" w:rsidR="00000000" w:rsidRPr="00000000">
        <w:rPr>
          <w:rtl w:val="0"/>
        </w:rPr>
      </w:r>
    </w:p>
    <w:p w:rsidR="00000000" w:rsidDel="00000000" w:rsidP="00000000" w:rsidRDefault="00000000" w:rsidRPr="00000000" w14:paraId="00000017">
      <w:pPr>
        <w:spacing w:after="160" w:line="276" w:lineRule="auto"/>
        <w:jc w:val="both"/>
        <w:rPr>
          <w:sz w:val="22"/>
          <w:szCs w:val="22"/>
        </w:rPr>
      </w:pPr>
      <w:r w:rsidDel="00000000" w:rsidR="00000000" w:rsidRPr="00000000">
        <w:rPr>
          <w:sz w:val="22"/>
          <w:szCs w:val="22"/>
          <w:rtl w:val="0"/>
        </w:rPr>
        <w:t xml:space="preserve">Lindstrom, Jack M., and Zaryab Nutkani. "China in Pakistan: How Instability and Resources Ousted the West" Arctic Ledger, Vol. I (July–August 2026).</w:t>
      </w: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pBdr>
          <w:bottom w:color="1b3a5c" w:space="4" w:sz="6" w:val="single"/>
        </w:pBdr>
        <w:spacing w:after="200" w:before="300" w:lineRule="auto"/>
        <w:rPr/>
      </w:pPr>
      <w:bookmarkStart w:colFirst="0" w:colLast="0" w:name="_heading=h.jf6hhito0zqq" w:id="0"/>
      <w:bookmarkEnd w:id="0"/>
      <w:r w:rsidDel="00000000" w:rsidR="00000000" w:rsidRPr="00000000">
        <w:rPr>
          <w:b w:val="1"/>
          <w:bCs w:val="1"/>
          <w:rtl w:val="0"/>
        </w:rPr>
        <w:t xml:space="preserve">In This Issue </w:t>
      </w:r>
      <w:r w:rsidDel="00000000" w:rsidR="00000000" w:rsidRPr="00000000">
        <w:rPr>
          <w:rtl w:val="0"/>
        </w:rPr>
      </w:r>
    </w:p>
    <w:p w:rsidR="00000000" w:rsidDel="00000000" w:rsidP="00000000" w:rsidRDefault="00000000" w:rsidRPr="00000000" w14:paraId="00000019">
      <w:pPr>
        <w:spacing w:after="160" w:line="276" w:lineRule="auto"/>
        <w:jc w:val="both"/>
        <w:rPr>
          <w:b w:val="1"/>
          <w:bCs w:val="1"/>
          <w:sz w:val="24"/>
          <w:szCs w:val="24"/>
        </w:rPr>
      </w:pPr>
      <w:r w:rsidDel="00000000" w:rsidR="00000000" w:rsidRPr="00000000">
        <w:rPr>
          <w:b w:val="1"/>
          <w:bCs w:val="1"/>
          <w:sz w:val="24"/>
          <w:szCs w:val="24"/>
          <w:rtl w:val="0"/>
        </w:rPr>
        <w:t xml:space="preserve">The Clarion-Clipperton Convergence </w:t>
      </w:r>
    </w:p>
    <w:p w:rsidR="00000000" w:rsidDel="00000000" w:rsidP="00000000" w:rsidRDefault="00000000" w:rsidRPr="00000000" w14:paraId="0000001A">
      <w:pPr>
        <w:spacing w:after="160" w:line="276" w:lineRule="auto"/>
        <w:jc w:val="both"/>
        <w:rPr>
          <w:i w:val="1"/>
          <w:iCs w:val="1"/>
          <w:sz w:val="24"/>
          <w:szCs w:val="24"/>
        </w:rPr>
      </w:pPr>
      <w:r w:rsidDel="00000000" w:rsidR="00000000" w:rsidRPr="00000000">
        <w:rPr>
          <w:i w:val="1"/>
          <w:iCs w:val="1"/>
          <w:sz w:val="24"/>
          <w:szCs w:val="24"/>
          <w:rtl w:val="0"/>
        </w:rPr>
        <w:t xml:space="preserve">Kevin Thow, Arthur Thorson, Jack Lindstrom </w:t>
      </w:r>
    </w:p>
    <w:p w:rsidR="00000000" w:rsidDel="00000000" w:rsidP="00000000" w:rsidRDefault="00000000" w:rsidRPr="00000000" w14:paraId="0000001B">
      <w:pPr>
        <w:spacing w:after="160" w:line="276" w:lineRule="auto"/>
        <w:jc w:val="both"/>
        <w:rPr>
          <w:b w:val="1"/>
          <w:bCs w:val="1"/>
          <w:sz w:val="24"/>
          <w:szCs w:val="24"/>
        </w:rPr>
      </w:pPr>
      <w:r w:rsidDel="00000000" w:rsidR="00000000" w:rsidRPr="00000000">
        <w:rPr>
          <w:b w:val="1"/>
          <w:bCs w:val="1"/>
          <w:sz w:val="24"/>
          <w:szCs w:val="24"/>
          <w:rtl w:val="0"/>
        </w:rPr>
        <w:t xml:space="preserve">Dual Circulation: A Study in Junmin Ronghe</w:t>
      </w:r>
    </w:p>
    <w:p w:rsidR="00000000" w:rsidDel="00000000" w:rsidP="00000000" w:rsidRDefault="00000000" w:rsidRPr="00000000" w14:paraId="0000001C">
      <w:pPr>
        <w:spacing w:after="160" w:line="276" w:lineRule="auto"/>
        <w:jc w:val="both"/>
        <w:rPr>
          <w:i w:val="1"/>
          <w:iCs w:val="1"/>
          <w:sz w:val="24"/>
          <w:szCs w:val="24"/>
        </w:rPr>
      </w:pPr>
      <w:r w:rsidDel="00000000" w:rsidR="00000000" w:rsidRPr="00000000">
        <w:rPr>
          <w:i w:val="1"/>
          <w:iCs w:val="1"/>
          <w:sz w:val="24"/>
          <w:szCs w:val="24"/>
          <w:rtl w:val="0"/>
        </w:rPr>
        <w:t xml:space="preserve"> Jack M. Lindstrom </w:t>
      </w:r>
    </w:p>
    <w:p w:rsidR="00000000" w:rsidDel="00000000" w:rsidP="00000000" w:rsidRDefault="00000000" w:rsidRPr="00000000" w14:paraId="0000001D">
      <w:pPr>
        <w:spacing w:after="160" w:line="276" w:lineRule="auto"/>
        <w:jc w:val="both"/>
        <w:rPr>
          <w:b w:val="1"/>
          <w:bCs w:val="1"/>
          <w:sz w:val="24"/>
          <w:szCs w:val="24"/>
        </w:rPr>
      </w:pPr>
      <w:r w:rsidDel="00000000" w:rsidR="00000000" w:rsidRPr="00000000">
        <w:rPr>
          <w:b w:val="1"/>
          <w:bCs w:val="1"/>
          <w:sz w:val="24"/>
          <w:szCs w:val="24"/>
          <w:rtl w:val="0"/>
        </w:rPr>
        <w:t xml:space="preserve">Infrastructure as Leverage: Chinese AI and Its Consequences </w:t>
      </w:r>
    </w:p>
    <w:p w:rsidR="00000000" w:rsidDel="00000000" w:rsidP="00000000" w:rsidRDefault="00000000" w:rsidRPr="00000000" w14:paraId="0000001E">
      <w:pPr>
        <w:spacing w:after="160" w:line="276" w:lineRule="auto"/>
        <w:jc w:val="both"/>
        <w:rPr>
          <w:i w:val="1"/>
          <w:iCs w:val="1"/>
          <w:sz w:val="24"/>
          <w:szCs w:val="24"/>
        </w:rPr>
      </w:pPr>
      <w:r w:rsidDel="00000000" w:rsidR="00000000" w:rsidRPr="00000000">
        <w:rPr>
          <w:i w:val="1"/>
          <w:iCs w:val="1"/>
          <w:sz w:val="24"/>
          <w:szCs w:val="24"/>
          <w:rtl w:val="0"/>
        </w:rPr>
        <w:t xml:space="preserve">Alexandra Jingsi Ni, Jack Lindstrom</w:t>
      </w:r>
    </w:p>
    <w:p w:rsidR="00000000" w:rsidDel="00000000" w:rsidP="00000000" w:rsidRDefault="00000000" w:rsidRPr="00000000" w14:paraId="0000001F">
      <w:pPr>
        <w:spacing w:after="160" w:line="276" w:lineRule="auto"/>
        <w:jc w:val="both"/>
        <w:rPr>
          <w:b w:val="1"/>
          <w:bCs w:val="1"/>
          <w:sz w:val="24"/>
          <w:szCs w:val="24"/>
        </w:rPr>
      </w:pPr>
      <w:r w:rsidDel="00000000" w:rsidR="00000000" w:rsidRPr="00000000">
        <w:rPr>
          <w:b w:val="1"/>
          <w:bCs w:val="1"/>
          <w:sz w:val="24"/>
          <w:szCs w:val="24"/>
          <w:rtl w:val="0"/>
        </w:rPr>
        <w:t xml:space="preserve"> Ruso-Sino Relations: An Arctic Approach</w:t>
      </w:r>
    </w:p>
    <w:p w:rsidR="00000000" w:rsidDel="00000000" w:rsidP="00000000" w:rsidRDefault="00000000" w:rsidRPr="00000000" w14:paraId="00000020">
      <w:pPr>
        <w:spacing w:after="160" w:line="276" w:lineRule="auto"/>
        <w:jc w:val="both"/>
        <w:rPr>
          <w:i w:val="1"/>
          <w:iCs w:val="1"/>
          <w:sz w:val="24"/>
          <w:szCs w:val="24"/>
        </w:rPr>
      </w:pPr>
      <w:r w:rsidDel="00000000" w:rsidR="00000000" w:rsidRPr="00000000">
        <w:rPr>
          <w:i w:val="1"/>
          <w:iCs w:val="1"/>
          <w:sz w:val="24"/>
          <w:szCs w:val="24"/>
          <w:rtl w:val="0"/>
        </w:rPr>
        <w:t xml:space="preserve"> Samuel Oren Tustin, Jack Lindstrom</w:t>
      </w:r>
    </w:p>
    <w:p w:rsidR="00000000" w:rsidDel="00000000" w:rsidP="00000000" w:rsidRDefault="00000000" w:rsidRPr="00000000" w14:paraId="00000021">
      <w:pPr>
        <w:spacing w:after="160" w:line="276" w:lineRule="auto"/>
        <w:jc w:val="both"/>
        <w:rPr>
          <w:b w:val="1"/>
          <w:bCs w:val="1"/>
          <w:sz w:val="24"/>
          <w:szCs w:val="24"/>
        </w:rPr>
      </w:pPr>
      <w:r w:rsidDel="00000000" w:rsidR="00000000" w:rsidRPr="00000000">
        <w:rPr>
          <w:b w:val="1"/>
          <w:bCs w:val="1"/>
          <w:sz w:val="24"/>
          <w:szCs w:val="24"/>
          <w:rtl w:val="0"/>
        </w:rPr>
        <w:t xml:space="preserve"> The Southern Reach</w:t>
      </w:r>
    </w:p>
    <w:p w:rsidR="00000000" w:rsidDel="00000000" w:rsidP="00000000" w:rsidRDefault="00000000" w:rsidRPr="00000000" w14:paraId="00000022">
      <w:pPr>
        <w:spacing w:after="160" w:line="276" w:lineRule="auto"/>
        <w:jc w:val="both"/>
        <w:rPr>
          <w:i w:val="1"/>
          <w:iCs w:val="1"/>
          <w:sz w:val="24"/>
          <w:szCs w:val="24"/>
        </w:rPr>
      </w:pPr>
      <w:r w:rsidDel="00000000" w:rsidR="00000000" w:rsidRPr="00000000">
        <w:rPr>
          <w:i w:val="1"/>
          <w:iCs w:val="1"/>
          <w:sz w:val="24"/>
          <w:szCs w:val="24"/>
          <w:rtl w:val="0"/>
        </w:rPr>
        <w:t xml:space="preserve"> J. M. Lindstrom, Liam Albert </w:t>
      </w:r>
    </w:p>
    <w:p w:rsidR="00000000" w:rsidDel="00000000" w:rsidP="00000000" w:rsidRDefault="00000000" w:rsidRPr="00000000" w14:paraId="00000023">
      <w:pPr>
        <w:spacing w:after="160" w:line="276" w:lineRule="auto"/>
        <w:jc w:val="both"/>
        <w:rPr>
          <w:b w:val="1"/>
          <w:bCs w:val="1"/>
          <w:sz w:val="24"/>
          <w:szCs w:val="24"/>
        </w:rPr>
      </w:pPr>
      <w:r w:rsidDel="00000000" w:rsidR="00000000" w:rsidRPr="00000000">
        <w:rPr>
          <w:b w:val="1"/>
          <w:bCs w:val="1"/>
          <w:sz w:val="24"/>
          <w:szCs w:val="24"/>
          <w:rtl w:val="0"/>
        </w:rPr>
        <w:t xml:space="preserve">China in Pakistan: How Instability and Resources Ousted the West </w:t>
      </w:r>
    </w:p>
    <w:p w:rsidR="00000000" w:rsidDel="00000000" w:rsidP="00000000" w:rsidRDefault="00000000" w:rsidRPr="00000000" w14:paraId="00000024">
      <w:pPr>
        <w:spacing w:after="160" w:line="276" w:lineRule="auto"/>
        <w:jc w:val="both"/>
        <w:rPr>
          <w:i w:val="1"/>
          <w:iCs w:val="1"/>
          <w:sz w:val="24"/>
          <w:szCs w:val="24"/>
        </w:rPr>
      </w:pPr>
      <w:r w:rsidDel="00000000" w:rsidR="00000000" w:rsidRPr="00000000">
        <w:rPr>
          <w:i w:val="1"/>
          <w:iCs w:val="1"/>
          <w:sz w:val="24"/>
          <w:szCs w:val="24"/>
          <w:rtl w:val="0"/>
        </w:rPr>
        <w:t xml:space="preserve">Zaryab Nutkani, Jack Lindstrom </w:t>
      </w:r>
    </w:p>
    <w:p w:rsidR="00000000" w:rsidDel="00000000" w:rsidP="00000000" w:rsidRDefault="00000000" w:rsidRPr="00000000" w14:paraId="00000025">
      <w:pPr>
        <w:spacing w:after="160" w:line="276" w:lineRule="auto"/>
        <w:jc w:val="both"/>
        <w:rPr>
          <w:b w:val="1"/>
          <w:bCs w:val="1"/>
          <w:sz w:val="24"/>
          <w:szCs w:val="24"/>
        </w:rPr>
      </w:pPr>
      <w:r w:rsidDel="00000000" w:rsidR="00000000" w:rsidRPr="00000000">
        <w:rPr>
          <w:b w:val="1"/>
          <w:bCs w:val="1"/>
          <w:sz w:val="24"/>
          <w:szCs w:val="24"/>
          <w:rtl w:val="0"/>
        </w:rPr>
        <w:t xml:space="preserve">The Butterfly Effect: Vulnerability in Indonesia's Nickel Supply Chain </w:t>
      </w:r>
    </w:p>
    <w:p w:rsidR="00000000" w:rsidDel="00000000" w:rsidP="00000000" w:rsidRDefault="00000000" w:rsidRPr="00000000" w14:paraId="00000026">
      <w:pPr>
        <w:rPr/>
      </w:pPr>
      <w:r w:rsidDel="00000000" w:rsidR="00000000" w:rsidRPr="00000000">
        <w:rPr>
          <w:i w:val="1"/>
          <w:iCs w:val="1"/>
          <w:sz w:val="24"/>
          <w:szCs w:val="24"/>
          <w:rtl w:val="0"/>
        </w:rPr>
        <w:t xml:space="preserve">J. M. Lindstrom, Afrina M.R.F.</w:t>
      </w:r>
      <w:r w:rsidDel="00000000" w:rsidR="00000000" w:rsidRPr="00000000">
        <w:br w:type="page"/>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ABOUT THE CONTRIBUTORS</w:t>
      </w:r>
      <w:r w:rsidDel="00000000" w:rsidR="00000000" w:rsidRPr="00000000">
        <w:rPr>
          <w:rtl w:val="0"/>
        </w:rPr>
      </w:r>
    </w:p>
    <w:p w:rsidR="00000000" w:rsidDel="00000000" w:rsidP="00000000" w:rsidRDefault="00000000" w:rsidRPr="00000000" w14:paraId="00000029">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Jack M. Lindstrom — Founder &amp; Publisher, Arctic Ledger</w:t>
      </w:r>
      <w:r w:rsidDel="00000000" w:rsidR="00000000" w:rsidRPr="00000000">
        <w:rPr>
          <w:rtl w:val="0"/>
        </w:rPr>
      </w:r>
    </w:p>
    <w:p w:rsidR="00000000" w:rsidDel="00000000" w:rsidP="00000000" w:rsidRDefault="00000000" w:rsidRPr="00000000" w14:paraId="0000002A">
      <w:pPr>
        <w:spacing w:after="160" w:line="276" w:lineRule="auto"/>
        <w:jc w:val="both"/>
        <w:rPr/>
      </w:pPr>
      <w:r w:rsidDel="00000000" w:rsidR="00000000" w:rsidRPr="00000000">
        <w:rPr>
          <w:sz w:val="22"/>
          <w:szCs w:val="22"/>
          <w:rtl w:val="0"/>
        </w:rPr>
        <w:t xml:space="preserve">Master of International Affairs candidate, UC San Diego School of Global Policy and Strategy. Junior Researcher under Leonard Hochberg, The Mackinder Forum. Lead author or co-author of each essay in this volume; general editor of Arctic Ledger.</w:t>
      </w:r>
      <w:r w:rsidDel="00000000" w:rsidR="00000000" w:rsidRPr="00000000">
        <w:rPr>
          <w:rtl w:val="0"/>
        </w:rPr>
      </w:r>
    </w:p>
    <w:p w:rsidR="00000000" w:rsidDel="00000000" w:rsidP="00000000" w:rsidRDefault="00000000" w:rsidRPr="00000000" w14:paraId="0000002B">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Arthur Thorson</w:t>
      </w:r>
      <w:r w:rsidDel="00000000" w:rsidR="00000000" w:rsidRPr="00000000">
        <w:rPr>
          <w:rtl w:val="0"/>
        </w:rPr>
      </w:r>
    </w:p>
    <w:p w:rsidR="00000000" w:rsidDel="00000000" w:rsidP="00000000" w:rsidRDefault="00000000" w:rsidRPr="00000000" w14:paraId="0000002C">
      <w:pPr>
        <w:spacing w:after="160" w:line="276" w:lineRule="auto"/>
        <w:jc w:val="both"/>
        <w:rPr/>
      </w:pPr>
      <w:r w:rsidDel="00000000" w:rsidR="00000000" w:rsidRPr="00000000">
        <w:rPr>
          <w:sz w:val="22"/>
          <w:szCs w:val="22"/>
          <w:rtl w:val="0"/>
        </w:rPr>
        <w:t xml:space="preserve">UC San Diego School of Global Policy and Strategy / Rady School of Management. Contributed the commercial and distribution-layer analysis of critical mineral processing in "The Clarion-Clipperton Convergence."</w:t>
      </w:r>
      <w:r w:rsidDel="00000000" w:rsidR="00000000" w:rsidRPr="00000000">
        <w:rPr>
          <w:rtl w:val="0"/>
        </w:rPr>
      </w:r>
    </w:p>
    <w:p w:rsidR="00000000" w:rsidDel="00000000" w:rsidP="00000000" w:rsidRDefault="00000000" w:rsidRPr="00000000" w14:paraId="0000002D">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Samuel Oren Tustin</w:t>
      </w:r>
      <w:r w:rsidDel="00000000" w:rsidR="00000000" w:rsidRPr="00000000">
        <w:rPr>
          <w:rtl w:val="0"/>
        </w:rPr>
      </w:r>
    </w:p>
    <w:p w:rsidR="00000000" w:rsidDel="00000000" w:rsidP="00000000" w:rsidRDefault="00000000" w:rsidRPr="00000000" w14:paraId="0000002E">
      <w:pPr>
        <w:spacing w:after="160" w:line="276" w:lineRule="auto"/>
        <w:jc w:val="both"/>
        <w:rPr/>
      </w:pPr>
      <w:r w:rsidDel="00000000" w:rsidR="00000000" w:rsidRPr="00000000">
        <w:rPr>
          <w:sz w:val="22"/>
          <w:szCs w:val="22"/>
          <w:rtl w:val="0"/>
        </w:rPr>
        <w:t xml:space="preserve">Communications &amp; Researcher, The Eurasia Center; Managing Editor for Europe, The World Mind. B.A. candidate, International Relations and Russian Studies, American University. Russian-language training completed through an intensive immersion program at Indiana University Bloomington. Writes on Russian foreign policy, NATO strategy, and Eurasian security affairs.</w:t>
      </w:r>
      <w:r w:rsidDel="00000000" w:rsidR="00000000" w:rsidRPr="00000000">
        <w:rPr>
          <w:rtl w:val="0"/>
        </w:rPr>
      </w:r>
    </w:p>
    <w:p w:rsidR="00000000" w:rsidDel="00000000" w:rsidP="00000000" w:rsidRDefault="00000000" w:rsidRPr="00000000" w14:paraId="0000002F">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Liam Albert</w:t>
      </w:r>
      <w:r w:rsidDel="00000000" w:rsidR="00000000" w:rsidRPr="00000000">
        <w:rPr>
          <w:rtl w:val="0"/>
        </w:rPr>
      </w:r>
    </w:p>
    <w:p w:rsidR="00000000" w:rsidDel="00000000" w:rsidP="00000000" w:rsidRDefault="00000000" w:rsidRPr="00000000" w14:paraId="00000030">
      <w:pPr>
        <w:spacing w:after="160" w:line="276" w:lineRule="auto"/>
        <w:jc w:val="both"/>
        <w:rPr/>
      </w:pPr>
      <w:r w:rsidDel="00000000" w:rsidR="00000000" w:rsidRPr="00000000">
        <w:rPr>
          <w:sz w:val="22"/>
          <w:szCs w:val="22"/>
          <w:rtl w:val="0"/>
        </w:rPr>
        <w:t xml:space="preserve">Field Engineer and Researcher whose work sits at the intersection of applied infrastructure delivery and geopolitical engineering, studying how the physical systems built on the ground (ports, grids, community infrastructure) translate into structural leverage at the state level. Contributed the ground-level field report from La Calle Real, Nicaragua, in "The Southern Reach," built through hands-on project work with EPICS (Arizona State University) and the Worldwide Child Relief Foundation. Brings a practitioner's perspective to Arctic Ledger's analysis, grounding the journal's structural and geopolitical arguments in the lived reality of on-site construction and community-level development work.</w:t>
      </w:r>
      <w:r w:rsidDel="00000000" w:rsidR="00000000" w:rsidRPr="00000000">
        <w:rPr>
          <w:rtl w:val="0"/>
        </w:rPr>
      </w:r>
    </w:p>
    <w:p w:rsidR="00000000" w:rsidDel="00000000" w:rsidP="00000000" w:rsidRDefault="00000000" w:rsidRPr="00000000" w14:paraId="00000031">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Alexandra Jingsi Ni</w:t>
      </w:r>
      <w:r w:rsidDel="00000000" w:rsidR="00000000" w:rsidRPr="00000000">
        <w:rPr>
          <w:rtl w:val="0"/>
        </w:rPr>
      </w:r>
    </w:p>
    <w:p w:rsidR="00000000" w:rsidDel="00000000" w:rsidP="00000000" w:rsidRDefault="00000000" w:rsidRPr="00000000" w14:paraId="00000032">
      <w:pPr>
        <w:spacing w:after="160" w:line="276" w:lineRule="auto"/>
        <w:jc w:val="both"/>
        <w:rPr/>
      </w:pPr>
      <w:r w:rsidDel="00000000" w:rsidR="00000000" w:rsidRPr="00000000">
        <w:rPr>
          <w:sz w:val="22"/>
          <w:szCs w:val="22"/>
          <w:rtl w:val="0"/>
        </w:rPr>
        <w:t xml:space="preserve">Researcher focusing on Chinese technology policy, AI governance, and the geoeconomics of critical mineral and semiconductor supply chains. Co-author of "Digital Leverage: Chinese AI and Its Consequences in the West," examining China's AI standard-setting strategy, infrastructure-linked technology exports, and the export-control dynamics shaping the global chip and AI supply chain. Her work brings a technology-and-standards lens to Arctic Ledger's broader analysis of Chinese structural statecraft.</w:t>
      </w:r>
      <w:r w:rsidDel="00000000" w:rsidR="00000000" w:rsidRPr="00000000">
        <w:rPr>
          <w:rtl w:val="0"/>
        </w:rPr>
      </w:r>
    </w:p>
    <w:p w:rsidR="00000000" w:rsidDel="00000000" w:rsidP="00000000" w:rsidRDefault="00000000" w:rsidRPr="00000000" w14:paraId="00000033">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Zaryab Nutkani (Zaryab Baloch)</w:t>
      </w:r>
      <w:r w:rsidDel="00000000" w:rsidR="00000000" w:rsidRPr="00000000">
        <w:rPr>
          <w:rtl w:val="0"/>
        </w:rPr>
      </w:r>
    </w:p>
    <w:p w:rsidR="00000000" w:rsidDel="00000000" w:rsidP="00000000" w:rsidRDefault="00000000" w:rsidRPr="00000000" w14:paraId="00000034">
      <w:pPr>
        <w:spacing w:after="160" w:line="276" w:lineRule="auto"/>
        <w:jc w:val="both"/>
        <w:rPr/>
      </w:pPr>
      <w:r w:rsidDel="00000000" w:rsidR="00000000" w:rsidRPr="00000000">
        <w:rPr>
          <w:sz w:val="22"/>
          <w:szCs w:val="22"/>
          <w:rtl w:val="0"/>
        </w:rPr>
        <w:t xml:space="preserve">MPhil, Defense &amp; Strategic Studies; B.A., International Relations. Researcher, Critical Minerals &amp; National Security, Economic Security, Global Political Economy, and Mineral Security. Quaid-i-Azam University, Islamabad, Pakistan.</w:t>
      </w:r>
      <w:r w:rsidDel="00000000" w:rsidR="00000000" w:rsidRPr="00000000">
        <w:rPr>
          <w:rtl w:val="0"/>
        </w:rPr>
      </w:r>
    </w:p>
    <w:p w:rsidR="00000000" w:rsidDel="00000000" w:rsidP="00000000" w:rsidRDefault="00000000" w:rsidRPr="00000000" w14:paraId="00000035">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Afrina Rifan (Afrina M.R.F.)</w:t>
      </w:r>
      <w:r w:rsidDel="00000000" w:rsidR="00000000" w:rsidRPr="00000000">
        <w:rPr>
          <w:rtl w:val="0"/>
        </w:rPr>
      </w:r>
    </w:p>
    <w:p w:rsidR="00000000" w:rsidDel="00000000" w:rsidP="00000000" w:rsidRDefault="00000000" w:rsidRPr="00000000" w14:paraId="00000036">
      <w:pPr>
        <w:spacing w:after="160" w:line="276" w:lineRule="auto"/>
        <w:jc w:val="both"/>
        <w:rPr/>
      </w:pPr>
      <w:r w:rsidDel="00000000" w:rsidR="00000000" w:rsidRPr="00000000">
        <w:rPr>
          <w:sz w:val="22"/>
          <w:szCs w:val="22"/>
          <w:rtl w:val="0"/>
        </w:rPr>
        <w:t xml:space="preserve">BSc (Hons), Urban Informatics and Planning, University of Moratuwa, Sri Lanka. Capstone research on porous node development in Kaduruwela Town, Polonnaruwa; NVQ Level 4 (ICT). Development-sector experience with the Plantation Human Development Trust, Sri Lanka's Eastern Province. Contributes spatial infrastructure analysis to Arctic Ledger.</w:t>
      </w:r>
      <w:r w:rsidDel="00000000" w:rsidR="00000000" w:rsidRPr="00000000">
        <w:rPr>
          <w:rtl w:val="0"/>
        </w:rPr>
      </w:r>
    </w:p>
    <w:p w:rsidR="00000000" w:rsidDel="00000000" w:rsidP="00000000" w:rsidRDefault="00000000" w:rsidRPr="00000000" w14:paraId="00000037">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Kevin Thow — Contributing Reviewer</w:t>
      </w:r>
      <w:r w:rsidDel="00000000" w:rsidR="00000000" w:rsidRPr="00000000">
        <w:rPr>
          <w:rtl w:val="0"/>
        </w:rPr>
      </w:r>
    </w:p>
    <w:p w:rsidR="00000000" w:rsidDel="00000000" w:rsidP="00000000" w:rsidRDefault="00000000" w:rsidRPr="00000000" w14:paraId="00000038">
      <w:pPr>
        <w:spacing w:after="160" w:line="276" w:lineRule="auto"/>
        <w:jc w:val="both"/>
        <w:rPr/>
      </w:pPr>
      <w:r w:rsidDel="00000000" w:rsidR="00000000" w:rsidRPr="00000000">
        <w:rPr>
          <w:sz w:val="22"/>
          <w:szCs w:val="22"/>
          <w:rtl w:val="0"/>
        </w:rPr>
        <w:t xml:space="preserve">Political scientist researching the geoeconomics of critical mineral supply chains. The Australian National University — Canberra, Australian Capital Territory, Australia.</w:t>
      </w:r>
      <w:r w:rsidDel="00000000" w:rsidR="00000000" w:rsidRPr="00000000">
        <w:rPr>
          <w:rtl w:val="0"/>
        </w:rPr>
      </w:r>
    </w:p>
    <w:p w:rsidR="00000000" w:rsidDel="00000000" w:rsidP="00000000" w:rsidRDefault="00000000" w:rsidRPr="00000000" w14:paraId="00000039">
      <w:pPr>
        <w:spacing w:after="160" w:line="276" w:lineRule="auto"/>
        <w:jc w:val="both"/>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3A">
      <w:pPr>
        <w:spacing w:after="160" w:line="276" w:lineRule="auto"/>
        <w:jc w:val="both"/>
        <w:rPr>
          <w:i w:val="1"/>
          <w:iCs w:val="1"/>
        </w:rPr>
      </w:pPr>
      <w:r w:rsidDel="00000000" w:rsidR="00000000" w:rsidRPr="00000000">
        <w:rPr>
          <w:rtl w:val="0"/>
        </w:rPr>
      </w:r>
    </w:p>
    <w:p w:rsidR="00000000" w:rsidDel="00000000" w:rsidP="00000000" w:rsidRDefault="00000000" w:rsidRPr="00000000" w14:paraId="0000003B">
      <w:pPr>
        <w:spacing w:after="160" w:line="276" w:lineRule="auto"/>
        <w:jc w:val="both"/>
        <w:rPr/>
      </w:pPr>
      <w:r w:rsidDel="00000000" w:rsidR="00000000" w:rsidRPr="00000000">
        <w:rPr>
          <w:rtl w:val="0"/>
        </w:rPr>
      </w:r>
    </w:p>
    <w:p w:rsidR="00000000" w:rsidDel="00000000" w:rsidP="00000000" w:rsidRDefault="00000000" w:rsidRPr="00000000" w14:paraId="0000003C">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ABOUT ARCTIC LEDGER</w:t>
      </w:r>
      <w:r w:rsidDel="00000000" w:rsidR="00000000" w:rsidRPr="00000000">
        <w:rPr>
          <w:rtl w:val="0"/>
        </w:rPr>
      </w:r>
    </w:p>
    <w:p w:rsidR="00000000" w:rsidDel="00000000" w:rsidP="00000000" w:rsidRDefault="00000000" w:rsidRPr="00000000" w14:paraId="0000003D">
      <w:pPr>
        <w:spacing w:after="160" w:line="276" w:lineRule="auto"/>
        <w:jc w:val="both"/>
        <w:rPr/>
      </w:pPr>
      <w:r w:rsidDel="00000000" w:rsidR="00000000" w:rsidRPr="00000000">
        <w:rPr>
          <w:sz w:val="22"/>
          <w:szCs w:val="22"/>
          <w:rtl w:val="0"/>
        </w:rPr>
        <w:t xml:space="preserve">Arctic Ledger is an independent research journal covering critical minerals, supply chain security, Arctic and maritime governance, and great power competition. It publishes original analysis from researchers, graduate students, and practitioners working across these fields, with contributors drawn from institutions worldwide. Arctic Ledger accepts no state or corporate funding.</w:t>
      </w:r>
      <w:r w:rsidDel="00000000" w:rsidR="00000000" w:rsidRPr="00000000">
        <w:rPr>
          <w:rtl w:val="0"/>
        </w:rPr>
      </w:r>
    </w:p>
    <w:p w:rsidR="00000000" w:rsidDel="00000000" w:rsidP="00000000" w:rsidRDefault="00000000" w:rsidRPr="00000000" w14:paraId="0000003E">
      <w:pPr>
        <w:spacing w:after="160" w:line="276" w:lineRule="auto"/>
        <w:ind w:left="1440" w:firstLine="720"/>
        <w:jc w:val="both"/>
        <w:rPr/>
      </w:pPr>
      <w:r w:rsidDel="00000000" w:rsidR="00000000" w:rsidRPr="00000000">
        <w:rPr>
          <w:sz w:val="22"/>
          <w:szCs w:val="22"/>
          <w:rtl w:val="0"/>
        </w:rPr>
        <w:t xml:space="preserve">arcticledger.org · </w:t>
      </w:r>
      <w:r w:rsidDel="00000000" w:rsidR="00000000" w:rsidRPr="00000000">
        <w:rPr>
          <w:rtl w:val="0"/>
        </w:rPr>
        <w:t xml:space="preserve">editor</w:t>
      </w:r>
      <w:r w:rsidDel="00000000" w:rsidR="00000000" w:rsidRPr="00000000">
        <w:rPr>
          <w:sz w:val="22"/>
          <w:szCs w:val="22"/>
          <w:rtl w:val="0"/>
        </w:rPr>
        <w:t xml:space="preserve">@</w:t>
      </w:r>
      <w:r w:rsidDel="00000000" w:rsidR="00000000" w:rsidRPr="00000000">
        <w:rPr>
          <w:rtl w:val="0"/>
        </w:rPr>
        <w:t xml:space="preserve">arcticledger</w:t>
      </w:r>
      <w:r w:rsidDel="00000000" w:rsidR="00000000" w:rsidRPr="00000000">
        <w:rPr>
          <w:sz w:val="22"/>
          <w:szCs w:val="22"/>
          <w:rtl w:val="0"/>
        </w:rPr>
        <w:t xml:space="preserve">.</w:t>
      </w:r>
      <w:r w:rsidDel="00000000" w:rsidR="00000000" w:rsidRPr="00000000">
        <w:rPr>
          <w:rtl w:val="0"/>
        </w:rPr>
        <w:t xml:space="preserve">org</w:t>
      </w:r>
    </w:p>
    <w:p w:rsidR="00000000" w:rsidDel="00000000" w:rsidP="00000000" w:rsidRDefault="00000000" w:rsidRPr="00000000" w14:paraId="0000003F">
      <w:pPr>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DISCLAIMER</w:t>
      </w:r>
      <w:r w:rsidDel="00000000" w:rsidR="00000000" w:rsidRPr="00000000">
        <w:rPr>
          <w:rtl w:val="0"/>
        </w:rPr>
      </w:r>
    </w:p>
    <w:p w:rsidR="00000000" w:rsidDel="00000000" w:rsidP="00000000" w:rsidRDefault="00000000" w:rsidRPr="00000000" w14:paraId="00000041">
      <w:pPr>
        <w:spacing w:after="160" w:line="276" w:lineRule="auto"/>
        <w:jc w:val="both"/>
        <w:rPr/>
      </w:pPr>
      <w:r w:rsidDel="00000000" w:rsidR="00000000" w:rsidRPr="00000000">
        <w:rPr>
          <w:sz w:val="22"/>
          <w:szCs w:val="22"/>
          <w:rtl w:val="0"/>
        </w:rPr>
        <w:t xml:space="preserve">The views expressed in each essay are those of the individual author(s) and do not represent the positions of Arctic Ledger, its editor, or any affiliated institution, employer, or organization named herein.</w:t>
      </w:r>
      <w:r w:rsidDel="00000000" w:rsidR="00000000" w:rsidRPr="00000000">
        <w:rPr>
          <w:rtl w:val="0"/>
        </w:rPr>
      </w:r>
    </w:p>
    <w:p w:rsidR="00000000" w:rsidDel="00000000" w:rsidP="00000000" w:rsidRDefault="00000000" w:rsidRPr="00000000" w14:paraId="00000042">
      <w:pPr>
        <w:rPr/>
      </w:pP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COPYRIGHT</w:t>
      </w:r>
      <w:r w:rsidDel="00000000" w:rsidR="00000000" w:rsidRPr="00000000">
        <w:rPr>
          <w:rtl w:val="0"/>
        </w:rPr>
      </w:r>
    </w:p>
    <w:p w:rsidR="00000000" w:rsidDel="00000000" w:rsidP="00000000" w:rsidRDefault="00000000" w:rsidRPr="00000000" w14:paraId="00000044">
      <w:pPr>
        <w:spacing w:after="160" w:line="276" w:lineRule="auto"/>
        <w:jc w:val="both"/>
        <w:rPr/>
      </w:pPr>
      <w:r w:rsidDel="00000000" w:rsidR="00000000" w:rsidRPr="00000000">
        <w:rPr>
          <w:sz w:val="22"/>
          <w:szCs w:val="22"/>
          <w:rtl w:val="0"/>
        </w:rPr>
        <w:t xml:space="preserve">© 2026 Arctic Ledger. All rights reserved. No part of this publication may be reproduced without permission, except for brief quotations used in critical review.</w:t>
      </w:r>
      <w:r w:rsidDel="00000000" w:rsidR="00000000" w:rsidRPr="00000000">
        <w:rPr>
          <w:rtl w:val="0"/>
        </w:rPr>
      </w:r>
    </w:p>
    <w:p w:rsidR="00000000" w:rsidDel="00000000" w:rsidP="00000000" w:rsidRDefault="00000000" w:rsidRPr="00000000" w14:paraId="00000045">
      <w:pPr>
        <w:spacing w:after="160" w:line="276" w:lineRule="auto"/>
        <w:jc w:val="center"/>
        <w:rPr/>
      </w:pPr>
      <w:r w:rsidDel="00000000" w:rsidR="00000000" w:rsidRPr="00000000">
        <w:rPr>
          <w:sz w:val="22"/>
          <w:szCs w:val="22"/>
          <w:rtl w:val="0"/>
        </w:rPr>
        <w:t xml:space="preserve">ARCTIC LEDGER</w:t>
      </w:r>
      <w:r w:rsidDel="00000000" w:rsidR="00000000" w:rsidRPr="00000000">
        <w:rPr>
          <w:rtl w:val="0"/>
        </w:rPr>
      </w:r>
    </w:p>
    <w:p w:rsidR="00000000" w:rsidDel="00000000" w:rsidP="00000000" w:rsidRDefault="00000000" w:rsidRPr="00000000" w14:paraId="00000046">
      <w:pPr>
        <w:spacing w:after="160" w:line="276" w:lineRule="auto"/>
        <w:ind w:left="0" w:firstLine="0"/>
        <w:jc w:val="center"/>
        <w:rPr/>
      </w:pPr>
      <w:r w:rsidDel="00000000" w:rsidR="00000000" w:rsidRPr="00000000">
        <w:rPr>
          <w:sz w:val="22"/>
          <w:szCs w:val="22"/>
          <w:rtl w:val="0"/>
        </w:rPr>
        <w:t xml:space="preserve">arcticledger.org · editor@arcticledger.com</w:t>
      </w:r>
      <w:r w:rsidDel="00000000" w:rsidR="00000000" w:rsidRPr="00000000">
        <w:rPr>
          <w:rtl w:val="0"/>
        </w:rPr>
      </w:r>
    </w:p>
    <w:p w:rsidR="00000000" w:rsidDel="00000000" w:rsidP="00000000" w:rsidRDefault="00000000" w:rsidRPr="00000000" w14:paraId="00000047">
      <w:pPr>
        <w:spacing w:line="276" w:lineRule="auto"/>
        <w:jc w:val="cente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pBdr>
          <w:bottom w:color="1b3a5c" w:space="4" w:sz="6" w:val="single"/>
        </w:pBdr>
        <w:spacing w:after="200" w:before="300" w:line="276" w:lineRule="auto"/>
        <w:rPr>
          <w:sz w:val="30"/>
          <w:szCs w:val="30"/>
        </w:rPr>
      </w:pPr>
      <w:r w:rsidDel="00000000" w:rsidR="00000000" w:rsidRPr="00000000">
        <w:rPr>
          <w:rFonts w:ascii="Times New Roman" w:cs="Times New Roman" w:eastAsia="Times New Roman" w:hAnsi="Times New Roman"/>
          <w:b w:val="1"/>
          <w:bCs w:val="1"/>
          <w:color w:val="000000"/>
          <w:sz w:val="30"/>
          <w:szCs w:val="30"/>
          <w:rtl w:val="0"/>
        </w:rPr>
        <w:t xml:space="preserve">The Clarion-Clipperton Convergence</w:t>
      </w:r>
      <w:r w:rsidDel="00000000" w:rsidR="00000000" w:rsidRPr="00000000">
        <w:rPr>
          <w:rtl w:val="0"/>
        </w:rPr>
      </w:r>
    </w:p>
    <w:p w:rsidR="00000000" w:rsidDel="00000000" w:rsidP="00000000" w:rsidRDefault="00000000" w:rsidRPr="00000000" w14:paraId="00000049">
      <w:pPr>
        <w:spacing w:after="120" w:line="276" w:lineRule="auto"/>
        <w:rPr>
          <w:i w:val="1"/>
          <w:iCs w:val="1"/>
          <w:color w:val="000000"/>
          <w:sz w:val="24"/>
          <w:szCs w:val="24"/>
        </w:rPr>
      </w:pPr>
      <w:r w:rsidDel="00000000" w:rsidR="00000000" w:rsidRPr="00000000">
        <w:rPr>
          <w:i w:val="1"/>
          <w:iCs w:val="1"/>
          <w:color w:val="000000"/>
          <w:sz w:val="24"/>
          <w:szCs w:val="24"/>
          <w:rtl w:val="0"/>
        </w:rPr>
        <w:t xml:space="preserve">Kevin Thow, Arthur Thorson, Jack Lindstrom</w:t>
      </w:r>
    </w:p>
    <w:p w:rsidR="00000000" w:rsidDel="00000000" w:rsidP="00000000" w:rsidRDefault="00000000" w:rsidRPr="00000000" w14:paraId="0000004A">
      <w:pPr>
        <w:spacing w:after="200" w:line="276" w:lineRule="auto"/>
        <w:rPr>
          <w:sz w:val="24"/>
          <w:szCs w:val="24"/>
        </w:rPr>
      </w:pPr>
      <w:r w:rsidDel="00000000" w:rsidR="00000000" w:rsidRPr="00000000">
        <w:rPr>
          <w:sz w:val="24"/>
          <w:szCs w:val="24"/>
          <w:rtl w:val="0"/>
        </w:rPr>
        <w:t xml:space="preserve">7,000 miles east of China, and 4,000 miles south of Alaska, an intersection is made not by contested islands or naval bases, but instead by something much more valuable, and equally as volatile. The Clarion-Clipperton Zone represents the richest mine of the deep sea, and correspondingly, has been contested. Such is the law of supply and demand. Governance, however, has fluctuated and left the zone in limbo- although protected under a mandate from the United Nations Convention on the Law of the Sea, and although the International Seabed Authority has historical precedent, it has since withdrawn from involvement. Mining Code negotiations failed after a decade of talks, as the US Executive Order of April 2025 was invoked, attempting to seize the chokepoint where opportunity presented itself. This Executive Order drew its credibility from the Deep Seabed Hard Mineral Resources Act of 1980, wherein US federal law regulated the exploration and recovery of minerals in the deep sea by companies, and as such a licensing regime was established. Executive Order 14285 served a contrary purpose- to expedite the process of obtaining such licenses. The Metals Company was quick to act upon such a development, and applied, that same month, for a unilateral permit, the coordinates of which fall within the Clarion-Clipperton Zone. The very same coordinates can be found in the paperwork of an International Seabed Authority (ISA) exploration contract. This governance overlap results in more than confusion; instead, it establishes a blatant contradiction, as TMC’s Nauru Ocean Resources Inc. (NORI) subsidiary holds an exploration contract through the ISA throughout blocks of the CCZ. These permits were issued under UNCLOS and administered through the Mining Code process- the issue therefore is not illegitimate claims of jurisdiction, but of competing legitimate parties. The US permit application under the Deep Seabed Hard Mineral Resources Act (DSHMRA) covers the same coordinate plots, although it falls under a different legal authority. The statute from 1980, under American jurisdiction, predates the UNCLOS ratification and was enacted through Executive Order, not an international treaty. Such a law effectively claims the region falls under US possession and sovereignty, while the UNCLOS and Mining Code claim it is internationally owned. Neither party recognizes the other officially- for much of the ocean, this is of lesser consequence; agreements are made, and treaties signed or ratified. That is because, however, such gray areas do not usually have contracts signed to allocate the land to a corporation. In this case, a double-issuance exists; multilateral attempts of obtaining a clear permit system burned ten years to produce a Mining Code that established its influence- although it failed. Meanwhile, the unilateral track of the United States took merely six months to produce a permit. </w:t>
      </w:r>
    </w:p>
    <w:p w:rsidR="00000000" w:rsidDel="00000000" w:rsidP="00000000" w:rsidRDefault="00000000" w:rsidRPr="00000000" w14:paraId="0000004B">
      <w:pPr>
        <w:spacing w:after="200" w:line="276" w:lineRule="auto"/>
        <w:rPr>
          <w:sz w:val="24"/>
          <w:szCs w:val="24"/>
        </w:rPr>
      </w:pPr>
      <w:r w:rsidDel="00000000" w:rsidR="00000000" w:rsidRPr="00000000">
        <w:rPr>
          <w:sz w:val="24"/>
          <w:szCs w:val="24"/>
          <w:rtl w:val="0"/>
        </w:rPr>
        <w:t xml:space="preserve">The exigence of such a jurisdictional delay in the Mining Code is a story of power politics in and of itself. The negotiations of the Mining Code stalled over the royalty and payment regime owed to the ISA- extraction was an agreed-upon clause; it was instead the tax off the top that led to stagnation. The environmental thresholds required a contracted fulfill obligations to move an operation from exploration to exploitation, as well as the consequence of sponsoring-state liability should a contractor’s operations cause seabed damage. However, such questions and complications of these specific rules were resolved by 2025; as such, there was no finished, established code. Therefore, the ISA was unable to approve exploitation applications from contractors, such as TMC’s NORI subsidiary, despite having held exploration rights for years. Come April 2025, Washington’s patience had ebbed, and a resolution was established through the Executive Order. A workaround from a blocked pathway to the CCZ to one open for business, at the behest of Washington. The ISA Council is pending a vote at present, the result of which tilts the consequences deeper than the contracts at issue. The first outcome is that of the Council acting to accommodate the contractors operating under national authority, with practical actions taken such as approval for its own contract holders, a protestation of the US permit- despite a lack of enforcement ability- or a negotiation taken to accommodate without losing leverage. Such outcomes concede that the ISA can not serve as a gatekeeper to the CCZ, and as such display a break-off from institutional practice, which has been upheld as yet for thirty years. </w:t>
      </w:r>
    </w:p>
    <w:p w:rsidR="00000000" w:rsidDel="00000000" w:rsidP="00000000" w:rsidRDefault="00000000" w:rsidRPr="00000000" w14:paraId="0000004C">
      <w:pPr>
        <w:spacing w:after="200" w:line="276" w:lineRule="auto"/>
        <w:rPr>
          <w:sz w:val="24"/>
          <w:szCs w:val="24"/>
        </w:rPr>
      </w:pPr>
      <w:r w:rsidDel="00000000" w:rsidR="00000000" w:rsidRPr="00000000">
        <w:rPr>
          <w:sz w:val="24"/>
          <w:szCs w:val="24"/>
          <w:rtl w:val="0"/>
        </w:rPr>
        <w:t xml:space="preserve">The second outcome is that the Council maintains the status quo; no exploitation approvals, resulting from the lack of a finished Mining Code, no recognition of the DSHMRA permit. Formally, this provides the ISA with its monopoly on legitimacy, if not power. It retains, in its facade, international cohesion and authority, but in practice it has no power to actually enforce such a role. The ISA fundamentally cannot, in this scenario, stop TMC from proceeding, which in turn provides credibility and power to the US’s authority on the region, at least to US corporations. The potential cost of this, however, is that other nations, namely China, follow the United States’s lead, with the resulting competition being one of markets without jurisdiction, competition with no arbiter, and likely, the decimation of the seafloor. The practice of this outcome is, as well, the further crystallization of a divide between the US and ISA, with a pair of unrecognizing licensing regimes over the same seabed. And in such an environment- where corporations must select between the United States and ISA, one which grants permits and one which does not- the choice becomes obvious.</w:t>
      </w:r>
    </w:p>
    <w:p w:rsidR="00000000" w:rsidDel="00000000" w:rsidP="00000000" w:rsidRDefault="00000000" w:rsidRPr="00000000" w14:paraId="0000004D">
      <w:pPr>
        <w:spacing w:after="200" w:line="276" w:lineRule="auto"/>
        <w:rPr>
          <w:sz w:val="24"/>
          <w:szCs w:val="24"/>
        </w:rPr>
      </w:pPr>
      <w:r w:rsidDel="00000000" w:rsidR="00000000" w:rsidRPr="00000000">
        <w:rPr>
          <w:sz w:val="24"/>
          <w:szCs w:val="24"/>
          <w:rtl w:val="0"/>
        </w:rPr>
        <w:t xml:space="preserve">Neither outcome restores the ISA to its prior power, which was maintained before April 2025; however, each grants some power to the United States over such a domain. The concern of legitimacy, in a field of chokepoints, must be put second, outside of the hands of institutions, and taken instead by the nation with the great power. At times of desperation, when institutions and governance muddy the water, only power can purify authority. The first outcome grants global clarity to the decay of the ISA’s position, while the second makes it de facto, while the authority insists the inverse. Denial or action, such is the choice that must be made by the ISA; as an institution without power, it cannot retain its legitimacy. Such games of power and legitimacy are played on all scales, domestic, organizational, geopolitical; but regardless of the July 2026 Council vote, the underlying pressure driving the TMC’s permit and Washington’s eagerness to invoke a statute from 1980 is the result of a chokepoint. Such a chokepoint is best seen from a commercial lens, rather than one purely of speculation on power and legitimacy. The CCZ and the contest surrounding it have muddied the water and require clarity. The cost of a lack of clarity is not just dilatoriness, but a fundamental economic weight. The chokepoints of critical minerals, such as cobalt, copper, nickel, and manganese, are at present dominated by China. Washington, attempting to slip out of such a chokehold, must first eliminate its vulnerability from the chokepoint- in such a case, that means owning these resources. Resources largely found in the CCZ. The cost of inaction is commercial costs, but more seriously, the international cost of independence from a mineral-rich China. Regardless of the cost of sea-mining relative to terrestrial mining, one cannot put a short-term price on long-term freedom, certainly not a superpower such as the United States. </w:t>
      </w:r>
    </w:p>
    <w:p w:rsidR="00000000" w:rsidDel="00000000" w:rsidP="00000000" w:rsidRDefault="00000000" w:rsidRPr="00000000" w14:paraId="0000004E">
      <w:pPr>
        <w:spacing w:after="200" w:line="276" w:lineRule="auto"/>
        <w:ind w:firstLine="720"/>
        <w:rPr>
          <w:sz w:val="24"/>
          <w:szCs w:val="24"/>
        </w:rPr>
      </w:pPr>
      <w:r w:rsidDel="00000000" w:rsidR="00000000" w:rsidRPr="00000000">
        <w:rPr>
          <w:sz w:val="24"/>
          <w:szCs w:val="24"/>
          <w:rtl w:val="0"/>
        </w:rPr>
        <w:t xml:space="preserve">Consider a scenario where the manufacturer of electric cars is trying to source the required permanent magnets needed for assembling their upcoming models. Instead of venturing into the global marketplace, the producer is confronted with the reality of a supply chain where all processors, producers, and distributors of the material are Chinese. In short, a monopoly. This is just one example of the current status of the critical mineral supply chain. In this case, the analysis will focus on how that dominance translates into product availability, price signal, and downstream impact on the buyer and end consumer. China's dominance in the processing of critical minerals is seen both in terms of production data and the supply chain available to the downstream producers. The International Energy Agency estimates that China holds close to 70% of the global capacity to refine strategic minerals, 91% of rare earth element separation, and 94% of permanent magnet manufacturing</w:t>
      </w:r>
      <w:r w:rsidDel="00000000" w:rsidR="00000000" w:rsidRPr="00000000">
        <w:rPr>
          <w:sz w:val="24"/>
          <w:szCs w:val="24"/>
          <w:vertAlign w:val="superscript"/>
          <w:rtl w:val="0"/>
        </w:rPr>
        <w:t xml:space="preserve">1</w:t>
      </w:r>
      <w:r w:rsidDel="00000000" w:rsidR="00000000" w:rsidRPr="00000000">
        <w:rPr>
          <w:sz w:val="24"/>
          <w:szCs w:val="24"/>
          <w:rtl w:val="0"/>
        </w:rPr>
        <w:t xml:space="preserve">. The extent of their dominance can be seen on business-to-business sites like Alibaba. Taking the example of neodymium permanent magnets, which are key in making electric vehicle motors. A search of the platform reveals that there are numerous Chinese companies providing customization services, OEM manufacturing, mass manufacturing, quality certifications, and international shipping. It is not just about selling the unprocessed materials; the Chinese companies have an integrated network that allows them to manufacture and sell the industrial components.</w:t>
      </w:r>
      <w:r w:rsidDel="00000000" w:rsidR="00000000" w:rsidRPr="00000000">
        <w:rPr>
          <w:sz w:val="24"/>
          <w:szCs w:val="24"/>
          <w:vertAlign w:val="superscript"/>
          <w:rtl w:val="0"/>
        </w:rPr>
        <w:t xml:space="preserve">2</w:t>
      </w:r>
      <w:r w:rsidDel="00000000" w:rsidR="00000000" w:rsidRPr="00000000">
        <w:rPr>
          <w:sz w:val="24"/>
          <w:szCs w:val="24"/>
          <w:rtl w:val="0"/>
        </w:rPr>
        <w:t xml:space="preserve"> For manufacturers, this means sourcing often begins within a Chinese supplier ecosystem rather than a competitive global marketplace. </w:t>
      </w:r>
    </w:p>
    <w:p w:rsidR="00000000" w:rsidDel="00000000" w:rsidP="00000000" w:rsidRDefault="00000000" w:rsidRPr="00000000" w14:paraId="0000004F">
      <w:pPr>
        <w:spacing w:after="200" w:line="276" w:lineRule="auto"/>
        <w:ind w:left="0" w:firstLine="0"/>
        <w:rPr>
          <w:sz w:val="24"/>
          <w:szCs w:val="24"/>
        </w:rPr>
      </w:pPr>
      <w:r w:rsidDel="00000000" w:rsidR="00000000" w:rsidRPr="00000000">
        <w:rPr>
          <w:sz w:val="24"/>
          <w:szCs w:val="24"/>
          <w:rtl w:val="0"/>
        </w:rPr>
        <w:t xml:space="preserve">While there may be other suppliers available 2 beyond China, their numbers are fewer than those in China’s manufacturing and processing network. With China’s dominance in processing critical minerals, it can control prices in global markets due to a lack of competition and alternative suppliers. According to the International Energy Agency (IEA), China has the dominant position in refining, with a surprising 19 out of 20 strategic minerals.</w:t>
      </w:r>
      <w:r w:rsidDel="00000000" w:rsidR="00000000" w:rsidRPr="00000000">
        <w:rPr>
          <w:sz w:val="24"/>
          <w:szCs w:val="24"/>
          <w:vertAlign w:val="superscript"/>
          <w:rtl w:val="0"/>
        </w:rPr>
        <w:t xml:space="preserve">3</w:t>
      </w:r>
      <w:r w:rsidDel="00000000" w:rsidR="00000000" w:rsidRPr="00000000">
        <w:rPr>
          <w:sz w:val="24"/>
          <w:szCs w:val="24"/>
          <w:rtl w:val="0"/>
        </w:rPr>
        <w:t xml:space="preserve"> After 2025, export controls tightened supply; buyers outside China felt it immediately: while domestic prices in China stayed stable, prices for buyers in Europe spiked to six times what Chinese buyers were paying. The resulting shortages forced many European and American car companies to cut back production or shut down plants entirely, showing just how exposed buyers become when they depend on a single dominant source.</w:t>
      </w:r>
      <w:r w:rsidDel="00000000" w:rsidR="00000000" w:rsidRPr="00000000">
        <w:rPr>
          <w:sz w:val="24"/>
          <w:szCs w:val="24"/>
          <w:vertAlign w:val="superscript"/>
          <w:rtl w:val="0"/>
        </w:rPr>
        <w:t xml:space="preserve">4</w:t>
      </w:r>
      <w:r w:rsidDel="00000000" w:rsidR="00000000" w:rsidRPr="00000000">
        <w:rPr>
          <w:sz w:val="24"/>
          <w:szCs w:val="24"/>
          <w:rtl w:val="0"/>
        </w:rPr>
        <w:t xml:space="preserve"> This pattern is consistent with earlier research on rare earth price transmission, which found that domestic Chinese prices act as the key benchmark for export prices, with price changes in China typically replicated internationally. It is not enough for China to just produce the necessary minerals; its dominance in processing gives it the control to set these price benchmarks.</w:t>
      </w:r>
      <w:r w:rsidDel="00000000" w:rsidR="00000000" w:rsidRPr="00000000">
        <w:rPr>
          <w:sz w:val="24"/>
          <w:szCs w:val="24"/>
          <w:vertAlign w:val="superscript"/>
          <w:rtl w:val="0"/>
        </w:rPr>
        <w:t xml:space="preserve">5</w:t>
      </w:r>
      <w:r w:rsidDel="00000000" w:rsidR="00000000" w:rsidRPr="00000000">
        <w:rPr>
          <w:sz w:val="24"/>
          <w:szCs w:val="24"/>
          <w:rtl w:val="0"/>
        </w:rPr>
        <w:t xml:space="preserve"> This can also be seen on its own e-commerce platforms. Alibaba.com, the platform foreign buyers use, lists prices in USD or EUR and includes export paperwork and buyer protection. 1688.com, its Mandarin-only domestic counterpart, lists RMB factory prices with none of that included. The most precisely matched comparison found identical 5 mm diameter, N35-N52 grade round magnets were priced 41% to 98% lower on 1688 than the equivalent Alibaba listing. This gap is consistent with, though somewhat wider than, two additional shape-matched comparisons: round/disc magnets ran roughly 63% to 85% lower on 1688, and 3 rectangular block magnets, a shape commonly used in EV motor assembly, ran roughly 47% to 95% lower, both matched by general shape and grade category rather than confirmed dimensions. Fully specification-matched comparisons were limited by 1688's login-gated listings and Alibaba's use of custom-sizing categories for some products; the figures above reflect the closest available matches given those constraints. This isn't just currency conversion or shipping tacked on. One marketplace is priced for domestic buyers, and one is priced for foreign buyers. </w:t>
      </w:r>
    </w:p>
    <w:p w:rsidR="00000000" w:rsidDel="00000000" w:rsidP="00000000" w:rsidRDefault="00000000" w:rsidRPr="00000000" w14:paraId="00000050">
      <w:pPr>
        <w:spacing w:after="200" w:line="276" w:lineRule="auto"/>
        <w:ind w:left="0" w:firstLine="0"/>
        <w:rPr>
          <w:sz w:val="24"/>
          <w:szCs w:val="24"/>
        </w:rPr>
      </w:pPr>
      <w:r w:rsidDel="00000000" w:rsidR="00000000" w:rsidRPr="00000000">
        <w:rPr>
          <w:sz w:val="24"/>
          <w:szCs w:val="24"/>
          <w:rtl w:val="0"/>
        </w:rPr>
        <w:t xml:space="preserve">This illustrates that China's commercial dominance extends beyond production capacity. Access to the lowest-cost supplier networks often depends on language, local market knowledge, and participation in China's domestic commercial ecosystem, advantages that many foreign buyers lack access to.</w:t>
      </w:r>
      <w:r w:rsidDel="00000000" w:rsidR="00000000" w:rsidRPr="00000000">
        <w:rPr>
          <w:sz w:val="24"/>
          <w:szCs w:val="24"/>
          <w:vertAlign w:val="superscript"/>
          <w:rtl w:val="0"/>
        </w:rPr>
        <w:t xml:space="preserve">6</w:t>
      </w:r>
      <w:r w:rsidDel="00000000" w:rsidR="00000000" w:rsidRPr="00000000">
        <w:rPr>
          <w:sz w:val="24"/>
          <w:szCs w:val="24"/>
          <w:rtl w:val="0"/>
        </w:rPr>
        <w:t xml:space="preserve"> China's market power in critical minerals goes beyond being a supplier and has serious impacts on manufacturers and end users globally. Buyers across electric vehicles, defense, robotics, semiconductors, and renewables all faced the same problem in April 2025: no alternative supplier to turn to. With processing capacity outside China still inadequate, companies couldn't simply switch suppliers, leaving them stuck with production delays or forced to build up costlier inventory buffers instead.</w:t>
      </w:r>
      <w:r w:rsidDel="00000000" w:rsidR="00000000" w:rsidRPr="00000000">
        <w:rPr>
          <w:sz w:val="24"/>
          <w:szCs w:val="24"/>
          <w:vertAlign w:val="superscript"/>
          <w:rtl w:val="0"/>
        </w:rPr>
        <w:t xml:space="preserve">7</w:t>
      </w:r>
      <w:r w:rsidDel="00000000" w:rsidR="00000000" w:rsidRPr="00000000">
        <w:rPr>
          <w:sz w:val="24"/>
          <w:szCs w:val="24"/>
          <w:rtl w:val="0"/>
        </w:rPr>
        <w:t xml:space="preserve"> The impact on global industry is immediately evident. Ford stopped production temporarily at its Chicago plant of the Explorer due to a shortage of rare earth materials, and Suzuki stopped production of its Swift because of a lack of sourcing of its parts. European manufacturers are affected too, with many announcing production delays. Mercedes-Benz has stated that they are stockpiling raw materials to stay ready. While the disruption may directly impact manufacturers in the short term, the ultimate cost is felt by consumers through the unavailability of products, delivery delays, increased production costs, and possibly even higher prices for products such as electric cars, electronics, and renewable technologies. Rather than merely controlling the supply of critical minerals, China's commercial dominance allows disruptions within its supply chain to ripple across global industries and economies.</w:t>
      </w:r>
      <w:r w:rsidDel="00000000" w:rsidR="00000000" w:rsidRPr="00000000">
        <w:rPr>
          <w:sz w:val="24"/>
          <w:szCs w:val="24"/>
          <w:vertAlign w:val="superscript"/>
          <w:rtl w:val="0"/>
        </w:rPr>
        <w:t xml:space="preserve">8</w:t>
      </w:r>
      <w:r w:rsidDel="00000000" w:rsidR="00000000" w:rsidRPr="00000000">
        <w:rPr>
          <w:sz w:val="24"/>
          <w:szCs w:val="24"/>
          <w:rtl w:val="0"/>
        </w:rPr>
        <w:t xml:space="preserve"> The dominance of China in the commercial field regarding critical minerals goes beyond just its processing of those minerals on a global scale; it also includes the dominance it holds in terms of international markets. From determining the availability of suppliers to setting global price signals and influencing the manufacturing of electric vehicles, renewable energy technology, and advanced electronics, China's market supremacy is felt way beyond its borders. </w:t>
      </w:r>
    </w:p>
    <w:p w:rsidR="00000000" w:rsidDel="00000000" w:rsidP="00000000" w:rsidRDefault="00000000" w:rsidRPr="00000000" w14:paraId="00000051">
      <w:pPr>
        <w:spacing w:after="200" w:line="276" w:lineRule="auto"/>
        <w:rPr>
          <w:sz w:val="24"/>
          <w:szCs w:val="24"/>
        </w:rPr>
      </w:pPr>
      <w:r w:rsidDel="00000000" w:rsidR="00000000" w:rsidRPr="00000000">
        <w:rPr>
          <w:sz w:val="24"/>
          <w:szCs w:val="24"/>
          <w:rtl w:val="0"/>
        </w:rPr>
        <w:t xml:space="preserve">The ongoing governance dispute between the United States and the International Seabed Authority (ISA) over who has the authority to regulate deep-sea mining has attracted sustained attention since the Trump administration’s April 2025 executive order, “Unleashing America’s Offshore Critical Minerals and Resources”</w:t>
      </w:r>
      <w:r w:rsidDel="00000000" w:rsidR="00000000" w:rsidRPr="00000000">
        <w:rPr>
          <w:sz w:val="24"/>
          <w:szCs w:val="24"/>
          <w:vertAlign w:val="superscript"/>
          <w:rtl w:val="0"/>
        </w:rPr>
        <w:t xml:space="preserve">9</w:t>
      </w:r>
      <w:r w:rsidDel="00000000" w:rsidR="00000000" w:rsidRPr="00000000">
        <w:rPr>
          <w:sz w:val="24"/>
          <w:szCs w:val="24"/>
          <w:rtl w:val="0"/>
        </w:rPr>
        <w:t xml:space="preserve">. The order has been widely interpreted as a means of bypassing multilateral frameworks and directs American agencies to expedite the issuance of exploration licenses and commercial recovery permits in the area beyond national jurisdiction (‘the Area’) under the Deep Seabed Hard Mineral Resources Act of 1980 (DSHMRA)</w:t>
      </w:r>
      <w:r w:rsidDel="00000000" w:rsidR="00000000" w:rsidRPr="00000000">
        <w:rPr>
          <w:sz w:val="24"/>
          <w:szCs w:val="24"/>
          <w:vertAlign w:val="superscript"/>
          <w:rtl w:val="0"/>
        </w:rPr>
        <w:t xml:space="preserve">10</w:t>
      </w:r>
      <w:r w:rsidDel="00000000" w:rsidR="00000000" w:rsidRPr="00000000">
        <w:rPr>
          <w:sz w:val="24"/>
          <w:szCs w:val="24"/>
          <w:rtl w:val="0"/>
        </w:rPr>
        <w:t xml:space="preserve">.</w:t>
      </w:r>
    </w:p>
    <w:p w:rsidR="00000000" w:rsidDel="00000000" w:rsidP="00000000" w:rsidRDefault="00000000" w:rsidRPr="00000000" w14:paraId="00000052">
      <w:pPr>
        <w:spacing w:after="200" w:line="276" w:lineRule="auto"/>
        <w:rPr>
          <w:sz w:val="24"/>
          <w:szCs w:val="24"/>
        </w:rPr>
      </w:pPr>
      <w:r w:rsidDel="00000000" w:rsidR="00000000" w:rsidRPr="00000000">
        <w:rPr>
          <w:sz w:val="24"/>
          <w:szCs w:val="24"/>
          <w:rtl w:val="0"/>
        </w:rPr>
        <w:t xml:space="preserve">While the growing focus on competing unilateral and multilateral approaches to deep-sea mining governance has become the focal point of contemporary debate, it risks obscuring a more durable strategic reality. China and its state-owned enterprises (SOEs) have established commercially significant positions across several stages of the emerging deep-sea mineral value chain. Three dimensions are particularly salient: institutional shaping within the ISA, commercial infrastructure that could provide scalability advantages for future polymetallic nodule supply chains, and concentrated midstream processing expertise. Together, these dimensions constitute structural advantages likely to persist regardless of which governance framework ultimately prevails.</w:t>
      </w:r>
    </w:p>
    <w:p w:rsidR="00000000" w:rsidDel="00000000" w:rsidP="00000000" w:rsidRDefault="00000000" w:rsidRPr="00000000" w14:paraId="00000053">
      <w:pPr>
        <w:spacing w:after="200" w:line="276" w:lineRule="auto"/>
        <w:rPr>
          <w:sz w:val="24"/>
          <w:szCs w:val="24"/>
        </w:rPr>
      </w:pPr>
      <w:r w:rsidDel="00000000" w:rsidR="00000000" w:rsidRPr="00000000">
        <w:rPr>
          <w:sz w:val="24"/>
          <w:szCs w:val="24"/>
          <w:rtl w:val="0"/>
        </w:rPr>
        <w:t xml:space="preserve">China’s involvement in the ISA derives from its standing as a state party to the United Nations Convention on the Law of the Sea (UNCLOS), which it signed in 1982 and ratified in 1996. Unlike the United States, which is not a party to the Convention, China has participated continuously as an ISA member for three decades</w:t>
      </w:r>
      <w:r w:rsidDel="00000000" w:rsidR="00000000" w:rsidRPr="00000000">
        <w:rPr>
          <w:sz w:val="24"/>
          <w:szCs w:val="24"/>
          <w:vertAlign w:val="superscript"/>
          <w:rtl w:val="0"/>
        </w:rPr>
        <w:t xml:space="preserve">11</w:t>
      </w:r>
      <w:r w:rsidDel="00000000" w:rsidR="00000000" w:rsidRPr="00000000">
        <w:rPr>
          <w:sz w:val="24"/>
          <w:szCs w:val="24"/>
          <w:rtl w:val="0"/>
        </w:rPr>
        <w:t xml:space="preserve">. Over this period, it became one of the Authority’s principal financial contributors, maintained a substantial presence in Council negotiations, and accumulated the largest portfolio of ISA exploration contracts held by any state</w:t>
      </w:r>
      <w:r w:rsidDel="00000000" w:rsidR="00000000" w:rsidRPr="00000000">
        <w:rPr>
          <w:sz w:val="24"/>
          <w:szCs w:val="24"/>
          <w:vertAlign w:val="superscript"/>
          <w:rtl w:val="0"/>
        </w:rPr>
        <w:t xml:space="preserve">12</w:t>
      </w:r>
      <w:r w:rsidDel="00000000" w:rsidR="00000000" w:rsidRPr="00000000">
        <w:rPr>
          <w:sz w:val="24"/>
          <w:szCs w:val="24"/>
          <w:rtl w:val="0"/>
        </w:rPr>
        <w:t xml:space="preserve">. Five of the ISA’s thirty-two contracts are held by the China Ocean Mineral Resources Research and Development Association (COMRA), China Minmetals Corporation, and Beijing Pioneer Hi-Tech Development Corporation, including three exploration contracts in the Clarion-Clipperton Zone (CCZ) for polymetallic nodules rich in manganese, nickel, cobalt, and copper</w:t>
      </w:r>
      <w:r w:rsidDel="00000000" w:rsidR="00000000" w:rsidRPr="00000000">
        <w:rPr>
          <w:sz w:val="24"/>
          <w:szCs w:val="24"/>
          <w:vertAlign w:val="superscript"/>
          <w:rtl w:val="0"/>
        </w:rPr>
        <w:t xml:space="preserve">13</w:t>
      </w:r>
      <w:r w:rsidDel="00000000" w:rsidR="00000000" w:rsidRPr="00000000">
        <w:rPr>
          <w:sz w:val="24"/>
          <w:szCs w:val="24"/>
          <w:rtl w:val="0"/>
        </w:rPr>
        <w:t xml:space="preserve">.</w:t>
      </w:r>
    </w:p>
    <w:p w:rsidR="00000000" w:rsidDel="00000000" w:rsidP="00000000" w:rsidRDefault="00000000" w:rsidRPr="00000000" w14:paraId="00000054">
      <w:pPr>
        <w:spacing w:after="200" w:line="276" w:lineRule="auto"/>
        <w:rPr>
          <w:sz w:val="24"/>
          <w:szCs w:val="24"/>
        </w:rPr>
      </w:pPr>
      <w:r w:rsidDel="00000000" w:rsidR="00000000" w:rsidRPr="00000000">
        <w:rPr>
          <w:sz w:val="24"/>
          <w:szCs w:val="24"/>
          <w:rtl w:val="0"/>
        </w:rPr>
        <w:t xml:space="preserve">China’s technical cooperation through the ISA-China Joint Training and Research Center in Qingdao</w:t>
      </w:r>
      <w:r w:rsidDel="00000000" w:rsidR="00000000" w:rsidRPr="00000000">
        <w:rPr>
          <w:sz w:val="24"/>
          <w:szCs w:val="24"/>
          <w:vertAlign w:val="superscript"/>
          <w:rtl w:val="0"/>
        </w:rPr>
        <w:t xml:space="preserve">14</w:t>
      </w:r>
      <w:r w:rsidDel="00000000" w:rsidR="00000000" w:rsidRPr="00000000">
        <w:rPr>
          <w:sz w:val="24"/>
          <w:szCs w:val="24"/>
          <w:rtl w:val="0"/>
        </w:rPr>
        <w:t xml:space="preserve">, together with its long-standing contractor status, has generated institutional experience, regulatory familiarity, and legal access to prospective mining areas that would be difficult for later entrants to replicate. Drawing on Evelyn Goh’s concept of institutional shaping, these accumulated structural positions embed Chinese state actors in the agenda-setting processes through which technical standards, regulatory norms, and commercial rules for deep-sea mining are negotiated, most notably in the development of the Mining Code</w:t>
      </w:r>
      <w:r w:rsidDel="00000000" w:rsidR="00000000" w:rsidRPr="00000000">
        <w:rPr>
          <w:sz w:val="24"/>
          <w:szCs w:val="24"/>
          <w:vertAlign w:val="superscript"/>
          <w:rtl w:val="0"/>
        </w:rPr>
        <w:t xml:space="preserve">15</w:t>
      </w:r>
      <w:r w:rsidDel="00000000" w:rsidR="00000000" w:rsidRPr="00000000">
        <w:rPr>
          <w:sz w:val="24"/>
          <w:szCs w:val="24"/>
          <w:rtl w:val="0"/>
        </w:rPr>
        <w:t xml:space="preserve">. This institutional positioning has been evident in practice. In 2023, for example, China “single-handedly” opposed efforts by Chile, France, Palau, and Vanuatu to include a proposal for a precautionary pause on deep-sea mining licenses on the ISA Assembly’s agenda</w:t>
      </w:r>
      <w:r w:rsidDel="00000000" w:rsidR="00000000" w:rsidRPr="00000000">
        <w:rPr>
          <w:sz w:val="24"/>
          <w:szCs w:val="24"/>
          <w:vertAlign w:val="superscript"/>
          <w:rtl w:val="0"/>
        </w:rPr>
        <w:t xml:space="preserve">16</w:t>
      </w:r>
      <w:r w:rsidDel="00000000" w:rsidR="00000000" w:rsidRPr="00000000">
        <w:rPr>
          <w:sz w:val="24"/>
          <w:szCs w:val="24"/>
          <w:rtl w:val="0"/>
        </w:rPr>
        <w:t xml:space="preserve">.</w:t>
      </w:r>
    </w:p>
    <w:p w:rsidR="00000000" w:rsidDel="00000000" w:rsidP="00000000" w:rsidRDefault="00000000" w:rsidRPr="00000000" w14:paraId="00000055">
      <w:pPr>
        <w:spacing w:after="200" w:line="276" w:lineRule="auto"/>
        <w:rPr>
          <w:sz w:val="24"/>
          <w:szCs w:val="24"/>
        </w:rPr>
      </w:pPr>
      <w:r w:rsidDel="00000000" w:rsidR="00000000" w:rsidRPr="00000000">
        <w:rPr>
          <w:sz w:val="24"/>
          <w:szCs w:val="24"/>
          <w:rtl w:val="0"/>
        </w:rPr>
        <w:t xml:space="preserve">Institutional positioning, however, represents only one dimension of China’s broader commercial advantage. A second concerns the commercial infrastructure and industrial capabilities required to support a future deep-sea mineral production system. Although no integrated commercial production chain yet exists, future mining operations will require the coordination of seabed collection using subsea mining vehicles and vertical lifting systems, topside dewatering, cargo storage, maritime transport, and midstream processing at a commercially viable cost</w:t>
      </w:r>
      <w:r w:rsidDel="00000000" w:rsidR="00000000" w:rsidRPr="00000000">
        <w:rPr>
          <w:sz w:val="24"/>
          <w:szCs w:val="24"/>
          <w:vertAlign w:val="superscript"/>
          <w:rtl w:val="0"/>
        </w:rPr>
        <w:t xml:space="preserve">17</w:t>
      </w:r>
      <w:r w:rsidDel="00000000" w:rsidR="00000000" w:rsidRPr="00000000">
        <w:rPr>
          <w:sz w:val="24"/>
          <w:szCs w:val="24"/>
          <w:rtl w:val="0"/>
        </w:rPr>
        <w:t xml:space="preserve">. China has accumulated capabilities across several of these functions through investment in offshore engineering, maritime logistics, shipping, and port infrastructure. Its large merchant fleet and extensive port network—developed to support China’s terrestrial commodity trade—represent commercially relevant assets that could readily support future deep-sea mineral supply chains</w:t>
      </w:r>
      <w:r w:rsidDel="00000000" w:rsidR="00000000" w:rsidRPr="00000000">
        <w:rPr>
          <w:sz w:val="24"/>
          <w:szCs w:val="24"/>
          <w:vertAlign w:val="superscript"/>
          <w:rtl w:val="0"/>
        </w:rPr>
        <w:t xml:space="preserve">18</w:t>
      </w:r>
      <w:r w:rsidDel="00000000" w:rsidR="00000000" w:rsidRPr="00000000">
        <w:rPr>
          <w:sz w:val="24"/>
          <w:szCs w:val="24"/>
          <w:rtl w:val="0"/>
        </w:rPr>
        <w:t xml:space="preserve">. These capabilities do not guarantee future dominance, but they provide Chinese firms with a favorable commercial position should the industry mature.</w:t>
      </w:r>
    </w:p>
    <w:p w:rsidR="00000000" w:rsidDel="00000000" w:rsidP="00000000" w:rsidRDefault="00000000" w:rsidRPr="00000000" w14:paraId="00000056">
      <w:pPr>
        <w:spacing w:after="200" w:line="276" w:lineRule="auto"/>
        <w:rPr>
          <w:sz w:val="24"/>
          <w:szCs w:val="24"/>
        </w:rPr>
      </w:pPr>
      <w:r w:rsidDel="00000000" w:rsidR="00000000" w:rsidRPr="00000000">
        <w:rPr>
          <w:sz w:val="24"/>
          <w:szCs w:val="24"/>
          <w:rtl w:val="0"/>
        </w:rPr>
        <w:t xml:space="preserve">The third—and arguably the most consequential dimension—concerns what happens once polymetallic nodules extracted from the CCZ reach land. As with terrestrial mining, extraction and transportation constitute only the initial stages of value creation; it is realized through the metallurgical separation and refining of manganese, nickel, copper, cobalt, and other constituent minerals into industrial feedstocks. While the ISA regulates activities in the Area, including seabed collection, scholarship by Kirchain et al. assumes processing and refining occur on land under the jurisdiction of sovereign states</w:t>
      </w:r>
      <w:r w:rsidDel="00000000" w:rsidR="00000000" w:rsidRPr="00000000">
        <w:rPr>
          <w:sz w:val="24"/>
          <w:szCs w:val="24"/>
          <w:vertAlign w:val="superscript"/>
          <w:rtl w:val="0"/>
        </w:rPr>
        <w:t xml:space="preserve">19</w:t>
      </w:r>
      <w:r w:rsidDel="00000000" w:rsidR="00000000" w:rsidRPr="00000000">
        <w:rPr>
          <w:sz w:val="24"/>
          <w:szCs w:val="24"/>
          <w:rtl w:val="0"/>
        </w:rPr>
        <w:t xml:space="preserve">. Consequently, changes to the governance of extraction need not alter the geography of downstream value creation, which will instead depend on where processing capacity ultimately develops.</w:t>
      </w:r>
    </w:p>
    <w:p w:rsidR="00000000" w:rsidDel="00000000" w:rsidP="00000000" w:rsidRDefault="00000000" w:rsidRPr="00000000" w14:paraId="00000057">
      <w:pPr>
        <w:spacing w:after="200" w:line="276" w:lineRule="auto"/>
        <w:rPr>
          <w:sz w:val="24"/>
          <w:szCs w:val="24"/>
        </w:rPr>
      </w:pPr>
      <w:r w:rsidDel="00000000" w:rsidR="00000000" w:rsidRPr="00000000">
        <w:rPr>
          <w:sz w:val="24"/>
          <w:szCs w:val="24"/>
          <w:rtl w:val="0"/>
        </w:rPr>
        <w:t xml:space="preserve">Commercial-scale processing of polymetallic nodules remains in its infancy. The Metals Company, through its subsidiary Nauru Ocean Resources Inc. (NORI), demonstrated the smelting of CCZ polymetallic nodules at PAMCO’s existing pyrometallurgical facilities in Japan in early 2025</w:t>
      </w:r>
      <w:r w:rsidDel="00000000" w:rsidR="00000000" w:rsidRPr="00000000">
        <w:rPr>
          <w:sz w:val="24"/>
          <w:szCs w:val="24"/>
          <w:vertAlign w:val="superscript"/>
          <w:rtl w:val="0"/>
        </w:rPr>
        <w:t xml:space="preserve">20</w:t>
      </w:r>
      <w:r w:rsidDel="00000000" w:rsidR="00000000" w:rsidRPr="00000000">
        <w:rPr>
          <w:sz w:val="24"/>
          <w:szCs w:val="24"/>
          <w:rtl w:val="0"/>
        </w:rPr>
        <w:t xml:space="preserve">. Indeed, most prospective developers envisage relying initially on existing metallurgical facilities before investing in dedicated processing plants, given the considerable capital expenditure required</w:t>
      </w:r>
      <w:r w:rsidDel="00000000" w:rsidR="00000000" w:rsidRPr="00000000">
        <w:rPr>
          <w:sz w:val="24"/>
          <w:szCs w:val="24"/>
          <w:vertAlign w:val="superscript"/>
          <w:rtl w:val="0"/>
        </w:rPr>
        <w:t xml:space="preserve">21</w:t>
      </w:r>
      <w:r w:rsidDel="00000000" w:rsidR="00000000" w:rsidRPr="00000000">
        <w:rPr>
          <w:sz w:val="24"/>
          <w:szCs w:val="24"/>
          <w:rtl w:val="0"/>
        </w:rPr>
        <w:t xml:space="preserve">. This favors jurisdictions that already possess mature refining industries and metallurgical expertise.</w:t>
      </w:r>
    </w:p>
    <w:p w:rsidR="00000000" w:rsidDel="00000000" w:rsidP="00000000" w:rsidRDefault="00000000" w:rsidRPr="00000000" w14:paraId="00000058">
      <w:pPr>
        <w:spacing w:after="200" w:line="276" w:lineRule="auto"/>
        <w:rPr>
          <w:sz w:val="24"/>
          <w:szCs w:val="24"/>
        </w:rPr>
      </w:pPr>
      <w:r w:rsidDel="00000000" w:rsidR="00000000" w:rsidRPr="00000000">
        <w:rPr>
          <w:sz w:val="24"/>
          <w:szCs w:val="24"/>
          <w:rtl w:val="0"/>
        </w:rPr>
        <w:t xml:space="preserve">China enters this transition from a position of considerable strength. It possesses extensive expertise in processing many of the principal metals contained in polymetallic nodules. Moreover, even where refining appears geographically diversified, Chinese firms frequently retain ownership over processing assets. The International Energy Agency reports that although Indonesia is now the world’s largest producer of refined nickel, Chinese firms own approximately 65 percent of global refined nickel production through their investments in Indonesian refining capacity</w:t>
      </w:r>
      <w:r w:rsidDel="00000000" w:rsidR="00000000" w:rsidRPr="00000000">
        <w:rPr>
          <w:sz w:val="24"/>
          <w:szCs w:val="24"/>
          <w:vertAlign w:val="superscript"/>
          <w:rtl w:val="0"/>
        </w:rPr>
        <w:t xml:space="preserve">22</w:t>
      </w:r>
      <w:r w:rsidDel="00000000" w:rsidR="00000000" w:rsidRPr="00000000">
        <w:rPr>
          <w:sz w:val="24"/>
          <w:szCs w:val="24"/>
          <w:rtl w:val="0"/>
        </w:rPr>
        <w:t xml:space="preserve">.</w:t>
      </w:r>
    </w:p>
    <w:p w:rsidR="00000000" w:rsidDel="00000000" w:rsidP="00000000" w:rsidRDefault="00000000" w:rsidRPr="00000000" w14:paraId="00000059">
      <w:pPr>
        <w:spacing w:after="200" w:line="276" w:lineRule="auto"/>
        <w:rPr>
          <w:sz w:val="24"/>
          <w:szCs w:val="24"/>
        </w:rPr>
      </w:pPr>
      <w:r w:rsidDel="00000000" w:rsidR="00000000" w:rsidRPr="00000000">
        <w:rPr>
          <w:sz w:val="24"/>
          <w:szCs w:val="24"/>
          <w:rtl w:val="0"/>
        </w:rPr>
        <w:t xml:space="preserve">Interviews conducted by RAND with representatives from several seabed mining companies reveal a corresponding commercial dilemma. While actively seeking to avoid partnerships with Chinese firms due to concerns about ownership requirements, intellectual property, offtake arrangements, and the implications of the United States’ Foreign Entity of Concern provisions under the Inflation Reduction Act, they also acknowledged that China’s technical expertise and competitive costs could prove difficult to avoid if commercially viable alternatives fail to emerge</w:t>
      </w:r>
      <w:r w:rsidDel="00000000" w:rsidR="00000000" w:rsidRPr="00000000">
        <w:rPr>
          <w:sz w:val="24"/>
          <w:szCs w:val="24"/>
          <w:vertAlign w:val="superscript"/>
          <w:rtl w:val="0"/>
        </w:rPr>
        <w:t xml:space="preserve">23</w:t>
      </w:r>
      <w:r w:rsidDel="00000000" w:rsidR="00000000" w:rsidRPr="00000000">
        <w:rPr>
          <w:sz w:val="24"/>
          <w:szCs w:val="24"/>
          <w:rtl w:val="0"/>
        </w:rPr>
        <w:t xml:space="preserve">. As the report notes, “Given China’s demonstrated technical expertise in mineral processing, a seabed mining program will inevitably be accompanied by a sophisticated and, ultimately, low-cost nodule processing capacity.”</w:t>
      </w:r>
      <w:r w:rsidDel="00000000" w:rsidR="00000000" w:rsidRPr="00000000">
        <w:rPr>
          <w:sz w:val="24"/>
          <w:szCs w:val="24"/>
          <w:vertAlign w:val="superscript"/>
          <w:rtl w:val="0"/>
        </w:rPr>
        <w:t xml:space="preserve">24</w:t>
      </w:r>
      <w:r w:rsidDel="00000000" w:rsidR="00000000" w:rsidRPr="00000000">
        <w:rPr>
          <w:rtl w:val="0"/>
        </w:rPr>
      </w:r>
    </w:p>
    <w:p w:rsidR="00000000" w:rsidDel="00000000" w:rsidP="00000000" w:rsidRDefault="00000000" w:rsidRPr="00000000" w14:paraId="0000005A">
      <w:pPr>
        <w:spacing w:after="200" w:line="276" w:lineRule="auto"/>
        <w:rPr>
          <w:sz w:val="24"/>
          <w:szCs w:val="24"/>
        </w:rPr>
      </w:pPr>
      <w:r w:rsidDel="00000000" w:rsidR="00000000" w:rsidRPr="00000000">
        <w:rPr>
          <w:sz w:val="24"/>
          <w:szCs w:val="24"/>
          <w:rtl w:val="0"/>
        </w:rPr>
        <w:t xml:space="preserve">Taken together, these three dimensions—institutional positioning, commercial infrastructure, and midstream processing—provide China with structural advantages across the emerging deep-sea mineral value chain. For Western policymakers, any meaningful counter-positioning strategy will require investment on a scale that current policy mechanisms do not yet match. While 2019 ISA-commissioned modeling estimates a dedicated processing facility would cost more than “two billion USD to develop and construct”</w:t>
      </w:r>
      <w:r w:rsidDel="00000000" w:rsidR="00000000" w:rsidRPr="00000000">
        <w:rPr>
          <w:sz w:val="24"/>
          <w:szCs w:val="24"/>
          <w:vertAlign w:val="superscript"/>
          <w:rtl w:val="0"/>
        </w:rPr>
        <w:t xml:space="preserve">25</w:t>
      </w:r>
      <w:r w:rsidDel="00000000" w:rsidR="00000000" w:rsidRPr="00000000">
        <w:rPr>
          <w:sz w:val="24"/>
          <w:szCs w:val="24"/>
          <w:rtl w:val="0"/>
        </w:rPr>
        <w:t xml:space="preserve">, financing under the United States’ Defense Production Act projects exceeding at fifty million USD generally require additional congressional authorization</w:t>
      </w:r>
      <w:r w:rsidDel="00000000" w:rsidR="00000000" w:rsidRPr="00000000">
        <w:rPr>
          <w:sz w:val="24"/>
          <w:szCs w:val="24"/>
          <w:vertAlign w:val="superscript"/>
          <w:rtl w:val="0"/>
        </w:rPr>
        <w:t xml:space="preserve">26</w:t>
      </w:r>
      <w:r w:rsidDel="00000000" w:rsidR="00000000" w:rsidRPr="00000000">
        <w:rPr>
          <w:sz w:val="24"/>
          <w:szCs w:val="24"/>
          <w:rtl w:val="0"/>
        </w:rPr>
        <w:t xml:space="preserve">. Since commercial-scale nodule processing has yet to be integrated into any national industrial base, there remains a strategic window to establish alternatives before existing advantages become entrenched; otherwise, deep-sea mining risks replicating the pattern already evident in terrestrial critical mineral supply chains, where much of the strategic and economic value is captured through processing concentrated in China.</w:t>
      </w:r>
    </w:p>
    <w:p w:rsidR="00000000" w:rsidDel="00000000" w:rsidP="00000000" w:rsidRDefault="00000000" w:rsidRPr="00000000" w14:paraId="0000005B">
      <w:pPr>
        <w:spacing w:line="276" w:lineRule="auto"/>
        <w:ind w:left="0" w:firstLine="0"/>
        <w:rPr>
          <w:sz w:val="24"/>
          <w:szCs w:val="24"/>
        </w:rPr>
      </w:pPr>
      <w:r w:rsidDel="00000000" w:rsidR="00000000" w:rsidRPr="00000000">
        <w:rPr>
          <w:sz w:val="24"/>
          <w:szCs w:val="24"/>
          <w:rtl w:val="0"/>
        </w:rPr>
        <w:t xml:space="preserve">Such a concentration in such a volatile and valuable asset is, for the United States, a clear liability. As a holder of legitimacy in the world order, the United States chose, throughout recent history, to deliberately exchange power for legitimacy, creating middlemen in institutions, such as the ISA served, in a more globalized world. It is for this reason the ISA wishes to retain its independent power and authority, even if it is merely a facade- that is the rationale of the vote to ignore the United States. However, this outcome is unlikely. Not all international organizations can enact what they wish; such organizations may hold authority but lack power to make or keep actual change. Authority without the ability to provide the carrot or utilize the stick is simply smoke and mirrors. However, it can insulate its authority through success and an act of denial- the powers that do respect and obey the ISA, after all, not all nations are as powerful as the United States, grant the ISA some legitimacy. The CCZ displays a unique development where the United States prefers power to legitimacy, by using its international power to create its own legitimacy. The ISA is more likely, therefore, to conclude the July 2026 vote with an act to limit this power with its legitimacy. While this addresses and acknowledges the influence of the United States and the minor erosion of the ISA, it also posits an opportunity to reclaim power. What better way to regain relevance, after being sidelined, than to take the world’s hegemon to trial? Such a rationale is one that, if successful, establishes a precedent of power in institutions above nations, as the UN has reflected time and again. The ISA, working under UNCLOS, has legitimate backing. The ISA must weigh the options blatantly- a theoretical, paper monopoly, or a gamble- to try and restrict a superpower, with risk of losing further authority, or gaining significantly more, at a time when it is already slipping away. The path of least resistance is, of course, holding the line; it requires no use of enforcement, of which the ISA lacks the mechanism. Accommodation would require the council to relinquish power in the admission of a legal defeat, publicly- but it could also funnel a path to greater power. It is this gamble, with the backing of UNCLOS and thereby, likely involving an International Tribunal for the Law of the Sea (ITLOS) for resolution. The probability of success, or even the likelihood of this prediction- that an institution has a predisposition for gambling with power- is incalculable, and, should it fail, only bolsters the United States’ authority on the seas. However, if it succeeds, it does set a precedent on authority in the region, and thus a valve on a critical chokepoint for the United States.</w:t>
      </w:r>
    </w:p>
    <w:p w:rsidR="00000000" w:rsidDel="00000000" w:rsidP="00000000" w:rsidRDefault="00000000" w:rsidRPr="00000000" w14:paraId="0000005C">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5D">
      <w:pPr>
        <w:spacing w:line="276" w:lineRule="auto"/>
        <w:ind w:left="0" w:firstLine="0"/>
        <w:rPr>
          <w:sz w:val="24"/>
          <w:szCs w:val="24"/>
        </w:rPr>
      </w:pPr>
      <w:r w:rsidDel="00000000" w:rsidR="00000000" w:rsidRPr="00000000">
        <w:rPr>
          <w:sz w:val="24"/>
          <w:szCs w:val="24"/>
          <w:rtl w:val="0"/>
        </w:rPr>
        <w:t xml:space="preserve">China’s dominance in processing, as well as its structural headstart, results in leverage, and a Council seeking to retain power by restricting violators such as the United States, paves a path for arbitrated extraction in the CCZ. A monopoly cannot be granted if the ISA claims this chokepoint as its own domain, to either China or the United States- although this does not resolve China’s preexisting monopoly on processing the rare earth metals extracted.  China’s command of downstream processing capacity for cobalt, nickel, copper, and manganese exists today, was built over decades, and will not unwind because a Council vote goes one way or another. Should this prediction be correct, and the ISA moves to counter the US and restrict its claims in the CCZ- thus forcing the world to work under the framework of ISA contracts and DSHMRA permits- or if it is incorrect in this prediction, and the ISA ignores the United States, and hybrid permits are the resolution, the ore itself is not the constrained resource. Rather, it is the ability to process it into industrial quality materials, which, regardless of the outcome of the vote, rests firmly in China’s hands. </w:t>
      </w:r>
    </w:p>
    <w:p w:rsidR="00000000" w:rsidDel="00000000" w:rsidP="00000000" w:rsidRDefault="00000000" w:rsidRPr="00000000" w14:paraId="0000005E">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5F">
      <w:pPr>
        <w:spacing w:line="276" w:lineRule="auto"/>
        <w:ind w:left="0" w:firstLine="0"/>
        <w:rPr>
          <w:sz w:val="24"/>
          <w:szCs w:val="24"/>
        </w:rPr>
      </w:pPr>
      <w:r w:rsidDel="00000000" w:rsidR="00000000" w:rsidRPr="00000000">
        <w:rPr>
          <w:sz w:val="24"/>
          <w:szCs w:val="24"/>
          <w:rtl w:val="0"/>
        </w:rPr>
        <w:t xml:space="preserve">It does not matter, therefore, who extracts the minerals, so much as who processes them- the United States can extract all minerals from the CCZ, in theory, only to have to ship them to China for processing, either in China directly or through Chinese-owned assets such as the nickel refineries in Indonesia. In such a way, the United States, aiming to claim the CCZ chokepoint, focuses on the wrong problem. The United States can control all mineral chokepoints in the world and be ineffective if it doesn’t build a singular processing plant- it can turn off the tap of the raw resources, but it can only turn the tap back on with China’s refineries. It is in this type of chokepoint that China holds compounding power, as China holds influence within the ISA, over the span of thirty years as a part of the institutional system. This is reflected best in the agenda-setting and familiarity China holds in the regulations of the ISA. The infrastructure constructed for terrestrial commodity trading serves as a sunk asset, but includes merchant fleets and port networks; the trade that has been established through globalization is weaponized through chokepoints; moreover, it is directly transferable to the CCZ. China, furthermore, is insulated from any external losses of chokepoint leverage because the processing all happens within its reach, without any oversight from the ISA or such international bureaucracy. Put bluntly, China does not need to win the ISA argument or match the United States permit for permit. It only needs the industry, whenever it matures, to still run through processing capacity it already controls.</w:t>
      </w:r>
    </w:p>
    <w:p w:rsidR="00000000" w:rsidDel="00000000" w:rsidP="00000000" w:rsidRDefault="00000000" w:rsidRPr="00000000" w14:paraId="00000060">
      <w:pPr>
        <w:spacing w:line="276" w:lineRule="auto"/>
        <w:ind w:firstLine="720"/>
        <w:rPr>
          <w:sz w:val="24"/>
          <w:szCs w:val="24"/>
        </w:rPr>
      </w:pPr>
      <w:r w:rsidDel="00000000" w:rsidR="00000000" w:rsidRPr="00000000">
        <w:rPr>
          <w:rtl w:val="0"/>
        </w:rPr>
      </w:r>
    </w:p>
    <w:p w:rsidR="00000000" w:rsidDel="00000000" w:rsidP="00000000" w:rsidRDefault="00000000" w:rsidRPr="00000000" w14:paraId="00000061">
      <w:pPr>
        <w:spacing w:line="276" w:lineRule="auto"/>
        <w:ind w:left="0" w:firstLine="0"/>
        <w:rPr>
          <w:sz w:val="24"/>
          <w:szCs w:val="24"/>
        </w:rPr>
      </w:pPr>
      <w:r w:rsidDel="00000000" w:rsidR="00000000" w:rsidRPr="00000000">
        <w:rPr>
          <w:sz w:val="24"/>
          <w:szCs w:val="24"/>
          <w:rtl w:val="0"/>
        </w:rPr>
        <w:t xml:space="preserve">The primary gap to be filled in response to these unchangeable conditions is the investment scaling. A nation that builds weapons holds power, a nation that builds institutions holds legitimacy, but a nation that builds tools can build both better. It is the US policy tools that are blunted. A single dedicated nodule-processing facility has been estimated at more than two billion dollars to build, while Defense Production Act financing above fifty million dollars requires separate congressional authorization on a case-by-case basis. This signifies that the gap is not a balance sheet, but instead a misalignment between the scale of the industrial base needed and the scale of funding the executive branch can deploy without new legislation. Closing such a gap through a standing authorization process, instead of persistent, repeated one-off requests, is required to streamline the process and, as such, should be a precondition for other tools of response to function. The second gap is that of the ISA-versus-unilateral question of jurisdiction. The United States already traded in its chips of legitimacy for power with the ISA, and although it must bow somewhat to UNCLOS, it imperatively has not ratified it. Therefore, it need not restrict itself to the opinion of organizations it is not a part of; it has sovereignty as a superpower- enforcement has little effect. Should the ISA pursue the United States, as predicted, it still benefits the United States to act in the CCZ- but only temporarily. In the short term, unilateral permits from the US, spurning the ISA, are effective- in the long term, it costs legitimacy. A great nation must balance both power and legitimacy- but strategy plays out across time, space, and scale.. Since the unilateral track is likely to produce extracted nodules first regardless of Council outcome, policy should treat the ISA track as a long-run legitimacy investment worth pursuing in parallel, not abandon it. A US-flagged mining program that never resolves its legal standing under UNCLOS risks winning the extraction race while losing the argument over whether the resulting minerals can move through allied and international supply chains without contestation. Pursuing both tracks simultaneously, rather than betting everything on DSHMRA permits, hedges against that outcome.</w:t>
      </w:r>
    </w:p>
    <w:p w:rsidR="00000000" w:rsidDel="00000000" w:rsidP="00000000" w:rsidRDefault="00000000" w:rsidRPr="00000000" w14:paraId="00000062">
      <w:pPr>
        <w:spacing w:line="276" w:lineRule="auto"/>
        <w:ind w:firstLine="720"/>
        <w:rPr>
          <w:sz w:val="24"/>
          <w:szCs w:val="24"/>
        </w:rPr>
      </w:pPr>
      <w:r w:rsidDel="00000000" w:rsidR="00000000" w:rsidRPr="00000000">
        <w:rPr>
          <w:rtl w:val="0"/>
        </w:rPr>
      </w:r>
    </w:p>
    <w:p w:rsidR="00000000" w:rsidDel="00000000" w:rsidP="00000000" w:rsidRDefault="00000000" w:rsidRPr="00000000" w14:paraId="00000063">
      <w:pPr>
        <w:spacing w:line="276" w:lineRule="auto"/>
        <w:ind w:left="0" w:firstLine="0"/>
        <w:rPr>
          <w:sz w:val="24"/>
          <w:szCs w:val="24"/>
        </w:rPr>
      </w:pPr>
      <w:r w:rsidDel="00000000" w:rsidR="00000000" w:rsidRPr="00000000">
        <w:rPr>
          <w:sz w:val="24"/>
          <w:szCs w:val="24"/>
          <w:rtl w:val="0"/>
        </w:rPr>
        <w:t xml:space="preserve">The strategy, put simply, is to utilize the short-term to amass power and weaken China’s strongest chokepoint, to gain and retain legitimacy in the long-term, and to manage both actions by utilizing the proper scale of engagement on both issues. In such a way, it becomes not a war on two fronts, but an opportunity for greater strength on both. </w:t>
      </w:r>
    </w:p>
    <w:p w:rsidR="00000000" w:rsidDel="00000000" w:rsidP="00000000" w:rsidRDefault="00000000" w:rsidRPr="00000000" w14:paraId="00000064">
      <w:pPr>
        <w:spacing w:line="276" w:lineRule="auto"/>
        <w:ind w:left="0" w:firstLine="0"/>
        <w:rPr>
          <w:sz w:val="24"/>
          <w:szCs w:val="24"/>
        </w:rPr>
      </w:pPr>
      <w:r w:rsidDel="00000000" w:rsidR="00000000" w:rsidRPr="00000000">
        <w:rPr>
          <w:sz w:val="24"/>
          <w:szCs w:val="24"/>
          <w:rtl w:val="0"/>
        </w:rPr>
        <w:t xml:space="preserve">No state has integrated, as of the time of writing, commercial-scale nodule processing as a part of its industrial base; the near-term opening therefore is not to out-mine China but to out-process it- to strike where the US is weakest, and China is the strongest, and to invert that dynamic. To build better tools, in other words. The world power the US holds can be utilized to seed allied refining capacity, whether through direct investment, loan guarantees, or offtake agreements structured explicitly to exclude Chinese-linked ownership, before extraction volumes are large enough to make switching processors commercially painful. If and when nodule flows are large enough that existing Chinese-linked facilities are the only economical destination, as has already happened with Indonesian nickel, the opportunity closes. This is why the strategy requires short-term action to amass power; it can only be gained in the present or, through investment, the future- legitimacy can always be attained later; power can not. As such, the United States must focus less on purely extraction rights and the ISA, and instead on constructing a system of processing capacity; to be immune, therefore, like China, to authorities such as the ISA, because the true power is a little higher up the supply-chain; the neck of it, where it is thinnest in options, most critical in its function, and, in other words, is the perfect chokepoint. </w:t>
      </w:r>
    </w:p>
    <w:p w:rsidR="00000000" w:rsidDel="00000000" w:rsidP="00000000" w:rsidRDefault="00000000" w:rsidRPr="00000000" w14:paraId="00000065">
      <w:pPr>
        <w:spacing w:line="276" w:lineRule="auto"/>
        <w:rPr>
          <w:sz w:val="24"/>
          <w:szCs w:val="24"/>
        </w:rPr>
      </w:pPr>
      <w:r w:rsidDel="00000000" w:rsidR="00000000" w:rsidRPr="00000000">
        <w:rPr>
          <w:rtl w:val="0"/>
        </w:rPr>
      </w:r>
    </w:p>
    <w:p w:rsidR="00000000" w:rsidDel="00000000" w:rsidP="00000000" w:rsidRDefault="00000000" w:rsidRPr="00000000" w14:paraId="00000066">
      <w:pPr>
        <w:spacing w:after="200" w:lineRule="auto"/>
        <w:rPr>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pBdr>
          <w:bottom w:color="1b3a5c" w:space="4" w:sz="6" w:val="single"/>
        </w:pBdr>
        <w:spacing w:after="200" w:before="300" w:lineRule="auto"/>
        <w:rPr>
          <w:sz w:val="30"/>
          <w:szCs w:val="30"/>
        </w:rPr>
      </w:pPr>
      <w:bookmarkStart w:colFirst="0" w:colLast="0" w:name="_heading=h.81pv5u5vox4i" w:id="1"/>
      <w:bookmarkEnd w:id="1"/>
      <w:r w:rsidDel="00000000" w:rsidR="00000000" w:rsidRPr="00000000">
        <w:rPr>
          <w:b w:val="1"/>
          <w:bCs w:val="1"/>
          <w:sz w:val="30"/>
          <w:szCs w:val="30"/>
          <w:rtl w:val="0"/>
        </w:rPr>
        <w:t xml:space="preserve">Dual Circulation: A Study in Junmin Ronghe</w:t>
      </w:r>
      <w:r w:rsidDel="00000000" w:rsidR="00000000" w:rsidRPr="00000000">
        <w:rPr>
          <w:rtl w:val="0"/>
        </w:rPr>
      </w:r>
    </w:p>
    <w:p w:rsidR="00000000" w:rsidDel="00000000" w:rsidP="00000000" w:rsidRDefault="00000000" w:rsidRPr="00000000" w14:paraId="00000068">
      <w:pPr>
        <w:spacing w:after="120" w:line="276" w:lineRule="auto"/>
        <w:rPr>
          <w:sz w:val="24"/>
          <w:szCs w:val="24"/>
        </w:rPr>
      </w:pPr>
      <w:r w:rsidDel="00000000" w:rsidR="00000000" w:rsidRPr="00000000">
        <w:rPr>
          <w:i w:val="1"/>
          <w:iCs w:val="1"/>
          <w:sz w:val="24"/>
          <w:szCs w:val="24"/>
          <w:rtl w:val="0"/>
        </w:rPr>
        <w:t xml:space="preserve">Jack M. Lindstrom</w:t>
      </w:r>
      <w:r w:rsidDel="00000000" w:rsidR="00000000" w:rsidRPr="00000000">
        <w:rPr>
          <w:rtl w:val="0"/>
        </w:rPr>
      </w:r>
    </w:p>
    <w:p w:rsidR="00000000" w:rsidDel="00000000" w:rsidP="00000000" w:rsidRDefault="00000000" w:rsidRPr="00000000" w14:paraId="00000069">
      <w:pPr>
        <w:spacing w:after="160" w:line="276" w:lineRule="auto"/>
        <w:jc w:val="both"/>
        <w:rPr>
          <w:sz w:val="24"/>
          <w:szCs w:val="24"/>
        </w:rPr>
      </w:pPr>
      <w:sdt>
        <w:sdtPr>
          <w:id w:val="1161454499"/>
          <w:tag w:val="goog_rdk_0"/>
        </w:sdtPr>
        <w:sdtContent>
          <w:r w:rsidDel="00000000" w:rsidR="00000000" w:rsidRPr="00000000">
            <w:rPr>
              <w:rFonts w:ascii="Gungsuh" w:cs="Gungsuh" w:eastAsia="Gungsuh" w:hAnsi="Gungsuh"/>
              <w:sz w:val="24"/>
              <w:szCs w:val="24"/>
              <w:rtl w:val="0"/>
            </w:rPr>
            <w:t xml:space="preserve">The role of dual circulation strategy (双循环)</w:t>
          </w:r>
        </w:sdtContent>
      </w:sdt>
      <w:r w:rsidDel="00000000" w:rsidR="00000000" w:rsidRPr="00000000">
        <w:rPr>
          <w:sz w:val="24"/>
          <w:szCs w:val="24"/>
          <w:vertAlign w:val="superscript"/>
          <w:rtl w:val="0"/>
        </w:rPr>
        <w:t xml:space="preserve">1</w:t>
      </w:r>
      <w:sdt>
        <w:sdtPr>
          <w:id w:val="1113693118"/>
          <w:tag w:val="goog_rdk_1"/>
        </w:sdtPr>
        <w:sdtContent>
          <w:r w:rsidDel="00000000" w:rsidR="00000000" w:rsidRPr="00000000">
            <w:rPr>
              <w:rFonts w:ascii="Gungsuh" w:cs="Gungsuh" w:eastAsia="Gungsuh" w:hAnsi="Gungsuh"/>
              <w:sz w:val="24"/>
              <w:szCs w:val="24"/>
              <w:rtl w:val="0"/>
            </w:rPr>
            <w:t xml:space="preserve">in Chinese economic policy has been viewed thus far as the anchors that simply strengthen and protect the internal economic system. These anchors create stability; however, they may serve more as a shield than an anchor, as insulation from foreign leverage than pure internal stabilization. It is this threshold, wherein the Chinese civil-military fusion (军民融合) doctrine intersects with economic policy and empowers China not through economic stability but instead through strategic removal of and protection from chokepoints. The origins of dual circulation, in May 2020, served as a pandemic-era economic establishment, a policy reacting to the COVID disruption and rising US trade pressure.</w:t>
          </w:r>
        </w:sdtContent>
      </w:sdt>
      <w:r w:rsidDel="00000000" w:rsidR="00000000" w:rsidRPr="00000000">
        <w:rPr>
          <w:sz w:val="24"/>
          <w:szCs w:val="24"/>
          <w:vertAlign w:val="superscript"/>
          <w:rtl w:val="0"/>
        </w:rPr>
        <w:t xml:space="preserve">2</w:t>
      </w:r>
      <w:r w:rsidDel="00000000" w:rsidR="00000000" w:rsidRPr="00000000">
        <w:rPr>
          <w:sz w:val="24"/>
          <w:szCs w:val="24"/>
          <w:rtl w:val="0"/>
        </w:rPr>
        <w:t xml:space="preserve"> As such, major Western institutions understand this policy through a macroeconomic lens. This analysis serves a different purpose, as it believes such understandings and the present literature are incomplete on account of the potential dual circulation that plays as a geopolitical sword and shield, one which mirrors China's already established civil-military fusion. The present literature is not incorrect in its analysis of dual circulation in terms of macroeconomic function; however, it needs to be connected with the civil-military fusion to properly understand all angles it serves. The fundamental role this dual circulation carries can be observed in the 2020 Politburo Standing Committee meeting, wherein the statement regarding dual circulation's exigence is officially stated, "deepen supply-side structural reform, fully leverage our super-large market advantage and domestic demand potential, and build a new development pattern in which domestic and international circulations mutually promote each other."</w:t>
      </w:r>
      <w:r w:rsidDel="00000000" w:rsidR="00000000" w:rsidRPr="00000000">
        <w:rPr>
          <w:sz w:val="24"/>
          <w:szCs w:val="24"/>
          <w:vertAlign w:val="superscript"/>
          <w:rtl w:val="0"/>
        </w:rPr>
        <w:t xml:space="preserve">3</w:t>
      </w:r>
      <w:r w:rsidDel="00000000" w:rsidR="00000000" w:rsidRPr="00000000">
        <w:rPr>
          <w:rtl w:val="0"/>
        </w:rPr>
      </w:r>
    </w:p>
    <w:p w:rsidR="00000000" w:rsidDel="00000000" w:rsidP="00000000" w:rsidRDefault="00000000" w:rsidRPr="00000000" w14:paraId="0000006A">
      <w:pPr>
        <w:spacing w:after="160" w:line="276" w:lineRule="auto"/>
        <w:jc w:val="both"/>
        <w:rPr>
          <w:sz w:val="24"/>
          <w:szCs w:val="24"/>
        </w:rPr>
      </w:pPr>
      <w:sdt>
        <w:sdtPr>
          <w:id w:val="1721253712"/>
          <w:tag w:val="goog_rdk_2"/>
        </w:sdtPr>
        <w:sdtContent>
          <w:r w:rsidDel="00000000" w:rsidR="00000000" w:rsidRPr="00000000">
            <w:rPr>
              <w:rFonts w:ascii="Gungsuh" w:cs="Gungsuh" w:eastAsia="Gungsuh" w:hAnsi="Gungsuh"/>
              <w:sz w:val="24"/>
              <w:szCs w:val="24"/>
              <w:rtl w:val="0"/>
            </w:rPr>
            <w:t xml:space="preserve"> The cornerstone of this purpose is named as "supply-side structural reform" (供给侧结构性改革), which displays the first peak of potential civil-military fusion.</w:t>
          </w:r>
        </w:sdtContent>
      </w:sdt>
      <w:r w:rsidDel="00000000" w:rsidR="00000000" w:rsidRPr="00000000">
        <w:rPr>
          <w:sz w:val="24"/>
          <w:szCs w:val="24"/>
          <w:vertAlign w:val="superscript"/>
          <w:rtl w:val="0"/>
        </w:rPr>
        <w:t xml:space="preserve">4</w:t>
      </w:r>
      <w:r w:rsidDel="00000000" w:rsidR="00000000" w:rsidRPr="00000000">
        <w:rPr>
          <w:sz w:val="24"/>
          <w:szCs w:val="24"/>
          <w:rtl w:val="0"/>
        </w:rPr>
        <w:t xml:space="preserve"> Xi's framework is set on indigenizing production capacity in strategic sectors, that is, strategic translation of the vague "supply-side structural reform"; what that means, however, is an orientation surpassing simple economic change.</w:t>
      </w:r>
      <w:r w:rsidDel="00000000" w:rsidR="00000000" w:rsidRPr="00000000">
        <w:rPr>
          <w:sz w:val="24"/>
          <w:szCs w:val="24"/>
          <w:vertAlign w:val="superscript"/>
          <w:rtl w:val="0"/>
        </w:rPr>
        <w:t xml:space="preserve">5</w:t>
      </w:r>
      <w:sdt>
        <w:sdtPr>
          <w:id w:val="87385967"/>
          <w:tag w:val="goog_rdk_3"/>
        </w:sdtPr>
        <w:sdtContent>
          <w:r w:rsidDel="00000000" w:rsidR="00000000" w:rsidRPr="00000000">
            <w:rPr>
              <w:rFonts w:ascii="Gungsuh" w:cs="Gungsuh" w:eastAsia="Gungsuh" w:hAnsi="Gungsuh"/>
              <w:sz w:val="24"/>
              <w:szCs w:val="24"/>
              <w:rtl w:val="0"/>
            </w:rPr>
            <w:t xml:space="preserve"> This is reflected in the ideological etymology of the wording, 双循环 carries Marxist undertones, and provides the link between strategy and Marxist theories of social reproduction and internal circulation of capital.</w:t>
          </w:r>
        </w:sdtContent>
      </w:sdt>
      <w:r w:rsidDel="00000000" w:rsidR="00000000" w:rsidRPr="00000000">
        <w:rPr>
          <w:sz w:val="24"/>
          <w:szCs w:val="24"/>
          <w:vertAlign w:val="superscript"/>
          <w:rtl w:val="0"/>
        </w:rPr>
        <w:t xml:space="preserve">6</w:t>
      </w:r>
      <w:r w:rsidDel="00000000" w:rsidR="00000000" w:rsidRPr="00000000">
        <w:rPr>
          <w:sz w:val="24"/>
          <w:szCs w:val="24"/>
          <w:rtl w:val="0"/>
        </w:rPr>
        <w:t xml:space="preserve"> This framing is not, therefore, merely economic, but entwined with the state as a whole, not market efficiency. Structural reform of the internal supply capabilities of China's economy posits the notion that China's modern orientation is not merely economic reform but also plays a role in grand strategy. What serves the state is not market reform, but civil-military fusion; a weaponization within the markets and an insulation from foreign chokepoints. This insulation from international leverage is the emphasis on self-reliance in critical technologies; this is mirrored throughout the world in terms of both risk and strategy.</w:t>
      </w:r>
      <w:r w:rsidDel="00000000" w:rsidR="00000000" w:rsidRPr="00000000">
        <w:rPr>
          <w:sz w:val="24"/>
          <w:szCs w:val="24"/>
          <w:vertAlign w:val="superscript"/>
          <w:rtl w:val="0"/>
        </w:rPr>
        <w:t xml:space="preserve">7</w:t>
      </w:r>
      <w:r w:rsidDel="00000000" w:rsidR="00000000" w:rsidRPr="00000000">
        <w:rPr>
          <w:sz w:val="24"/>
          <w:szCs w:val="24"/>
          <w:rtl w:val="0"/>
        </w:rPr>
        <w:t xml:space="preserve"> The United States does not export the manufacturing of weaponry, for example; however, the outsourcing of microchips has led to great fear of losing that very technology or production ability, thus becoming technologically handicapped.</w:t>
      </w:r>
      <w:r w:rsidDel="00000000" w:rsidR="00000000" w:rsidRPr="00000000">
        <w:rPr>
          <w:sz w:val="24"/>
          <w:szCs w:val="24"/>
          <w:vertAlign w:val="superscript"/>
          <w:rtl w:val="0"/>
        </w:rPr>
        <w:t xml:space="preserve">7</w:t>
      </w:r>
      <w:r w:rsidDel="00000000" w:rsidR="00000000" w:rsidRPr="00000000">
        <w:rPr>
          <w:sz w:val="24"/>
          <w:szCs w:val="24"/>
          <w:rtl w:val="0"/>
        </w:rPr>
        <w:t xml:space="preserve"> It is these kinds of chokepoints China is working through the dual circulation to eliminate; the strategy is to prioritize assets, while removing liabilities.</w:t>
      </w:r>
      <w:r w:rsidDel="00000000" w:rsidR="00000000" w:rsidRPr="00000000">
        <w:rPr>
          <w:sz w:val="24"/>
          <w:szCs w:val="24"/>
          <w:vertAlign w:val="superscript"/>
          <w:rtl w:val="0"/>
        </w:rPr>
        <w:t xml:space="preserve">7,8</w:t>
      </w:r>
      <w:r w:rsidDel="00000000" w:rsidR="00000000" w:rsidRPr="00000000">
        <w:rPr>
          <w:sz w:val="24"/>
          <w:szCs w:val="24"/>
          <w:rtl w:val="0"/>
        </w:rPr>
        <w:t xml:space="preserve"> The technologies with such an emphasis for dual circulation are those of semiconductors, AI, and advanced manufacturing.</w:t>
      </w:r>
      <w:r w:rsidDel="00000000" w:rsidR="00000000" w:rsidRPr="00000000">
        <w:rPr>
          <w:sz w:val="24"/>
          <w:szCs w:val="24"/>
          <w:vertAlign w:val="superscript"/>
          <w:rtl w:val="0"/>
        </w:rPr>
        <w:t xml:space="preserve">7,8,9</w:t>
      </w:r>
      <w:sdt>
        <w:sdtPr>
          <w:id w:val="-1766667902"/>
          <w:tag w:val="goog_rdk_4"/>
        </w:sdtPr>
        <w:sdtContent>
          <w:r w:rsidDel="00000000" w:rsidR="00000000" w:rsidRPr="00000000">
            <w:rPr>
              <w:rFonts w:ascii="Gungsuh" w:cs="Gungsuh" w:eastAsia="Gungsuh" w:hAnsi="Gungsuh"/>
              <w:sz w:val="24"/>
              <w:szCs w:val="24"/>
              <w:rtl w:val="0"/>
            </w:rPr>
            <w:t xml:space="preserve"> It is these technologies which are directly incorporated as part of China's civil-military fusion (军民融合) agenda.</w:t>
          </w:r>
        </w:sdtContent>
      </w:sdt>
      <w:r w:rsidDel="00000000" w:rsidR="00000000" w:rsidRPr="00000000">
        <w:rPr>
          <w:sz w:val="24"/>
          <w:szCs w:val="24"/>
          <w:vertAlign w:val="superscript"/>
          <w:rtl w:val="0"/>
        </w:rPr>
        <w:t xml:space="preserve">9</w:t>
      </w:r>
      <w:r w:rsidDel="00000000" w:rsidR="00000000" w:rsidRPr="00000000">
        <w:rPr>
          <w:sz w:val="24"/>
          <w:szCs w:val="24"/>
          <w:rtl w:val="0"/>
        </w:rPr>
        <w:t xml:space="preserve"> This has been perceived as a macroeconomic strategy to replace imports to bolster domestic growth, it is instead a substitution serving to eliminate chokepoints the US demonstrated it could leverage through the Foreign Direct Product Rules (FDPRs) on Huawei, as well as sanctions and export controls.</w:t>
      </w:r>
      <w:r w:rsidDel="00000000" w:rsidR="00000000" w:rsidRPr="00000000">
        <w:rPr>
          <w:sz w:val="24"/>
          <w:szCs w:val="24"/>
          <w:vertAlign w:val="superscript"/>
          <w:rtl w:val="0"/>
        </w:rPr>
        <w:t xml:space="preserve">8</w:t>
      </w:r>
      <w:r w:rsidDel="00000000" w:rsidR="00000000" w:rsidRPr="00000000">
        <w:rPr>
          <w:sz w:val="24"/>
          <w:szCs w:val="24"/>
          <w:rtl w:val="0"/>
        </w:rPr>
        <w:t xml:space="preserve"> The modern United States prefers to utilize less violent, risky maneuvers such as wars, particularly in the age of nuclear powers, and instead depends on its economic arsenal; it is this underbelly that China is fortifying and thereby reducing American leverage.</w:t>
      </w:r>
      <w:r w:rsidDel="00000000" w:rsidR="00000000" w:rsidRPr="00000000">
        <w:rPr>
          <w:sz w:val="24"/>
          <w:szCs w:val="24"/>
          <w:vertAlign w:val="superscript"/>
          <w:rtl w:val="0"/>
        </w:rPr>
        <w:t xml:space="preserve">7,9</w:t>
      </w:r>
      <w:r w:rsidDel="00000000" w:rsidR="00000000" w:rsidRPr="00000000">
        <w:rPr>
          <w:sz w:val="24"/>
          <w:szCs w:val="24"/>
          <w:rtl w:val="0"/>
        </w:rPr>
        <w:t xml:space="preserve"> As Cheung writes, the techno-security state depends upon economic instruments for security ends.</w:t>
      </w:r>
      <w:r w:rsidDel="00000000" w:rsidR="00000000" w:rsidRPr="00000000">
        <w:rPr>
          <w:sz w:val="24"/>
          <w:szCs w:val="24"/>
          <w:vertAlign w:val="superscript"/>
          <w:rtl w:val="0"/>
        </w:rPr>
        <w:t xml:space="preserve">9</w:t>
      </w:r>
      <w:r w:rsidDel="00000000" w:rsidR="00000000" w:rsidRPr="00000000">
        <w:rPr>
          <w:rtl w:val="0"/>
        </w:rPr>
      </w:r>
    </w:p>
    <w:p w:rsidR="00000000" w:rsidDel="00000000" w:rsidP="00000000" w:rsidRDefault="00000000" w:rsidRPr="00000000" w14:paraId="0000006B">
      <w:pPr>
        <w:spacing w:after="160" w:line="276" w:lineRule="auto"/>
        <w:jc w:val="both"/>
        <w:rPr>
          <w:sz w:val="24"/>
          <w:szCs w:val="24"/>
        </w:rPr>
      </w:pPr>
      <w:r w:rsidDel="00000000" w:rsidR="00000000" w:rsidRPr="00000000">
        <w:rPr>
          <w:sz w:val="24"/>
          <w:szCs w:val="24"/>
          <w:rtl w:val="0"/>
        </w:rPr>
        <w:t xml:space="preserve"> It is this leverage which is being removed, and, given American dependence upon Chinese mineral processing, potentially reversed. It was only the result of American credibility that American sanctions, FDPRs, and restrictions on trade did not lead to the perception of the United States as a reckless financial pilot of the world economy. As such, weaponization of the economy, foreign exchange system, banking systems, and supply chains did not derail the world economy or shift it elsewhere. This may occur, however, should China weaponize its own supply chains now. In the long term, this changes. Should China successfully insulate itself and remove these chokepoints, it would suffer no great harm by weaponizing its supply chain against the US, so long as it kept positive ties with other major trading nations.</w:t>
      </w:r>
    </w:p>
    <w:p w:rsidR="00000000" w:rsidDel="00000000" w:rsidP="00000000" w:rsidRDefault="00000000" w:rsidRPr="00000000" w14:paraId="0000006C">
      <w:pPr>
        <w:spacing w:after="160" w:line="276" w:lineRule="auto"/>
        <w:jc w:val="both"/>
        <w:rPr>
          <w:sz w:val="24"/>
          <w:szCs w:val="24"/>
        </w:rPr>
      </w:pPr>
      <w:r w:rsidDel="00000000" w:rsidR="00000000" w:rsidRPr="00000000">
        <w:rPr>
          <w:sz w:val="24"/>
          <w:szCs w:val="24"/>
          <w:rtl w:val="0"/>
        </w:rPr>
        <w:t xml:space="preserve">The prominence of this insulation is reiterated by the 14th Five-Year Plan, which dedicated a full chapter to dual circulation with a primary focus on internal, rather than external, circulation.</w:t>
      </w:r>
      <w:r w:rsidDel="00000000" w:rsidR="00000000" w:rsidRPr="00000000">
        <w:rPr>
          <w:sz w:val="24"/>
          <w:szCs w:val="24"/>
          <w:vertAlign w:val="superscript"/>
          <w:rtl w:val="0"/>
        </w:rPr>
        <w:t xml:space="preserve">10</w:t>
      </w:r>
      <w:r w:rsidDel="00000000" w:rsidR="00000000" w:rsidRPr="00000000">
        <w:rPr>
          <w:sz w:val="24"/>
          <w:szCs w:val="24"/>
          <w:rtl w:val="0"/>
        </w:rPr>
        <w:t xml:space="preserve"> Self-reliance, therefore, is a significant objective, not simply an economic plan established to mitigate the financial pains of COVID. Building domestic consumption establishes more than state-controlled growth; instead, it reduces the economic leverage that trade dependency provides foreign adversaries. A China independent of the export markets is a China that cannot fall victim to financial coercion. In other words, it is deterrence economics. The external circulation component is perceived the same way China's joining the WTO was perceived; a commitment to globalization. However, controlling external engagement by selectively maintaining trade relationships while also promoting domestic redundancy is the same dual-use posture. China reaps the benefits of technology, capital, and market access from the international system while eliminating its own vulnerability to that system. This is not and cannot be perceived as an openness to the world but instead as what it is: strategic asymmetry, following the same playbook of the ascension to the WTO.</w:t>
      </w:r>
    </w:p>
    <w:p w:rsidR="00000000" w:rsidDel="00000000" w:rsidP="00000000" w:rsidRDefault="00000000" w:rsidRPr="00000000" w14:paraId="0000006D">
      <w:pPr>
        <w:spacing w:after="160" w:line="276" w:lineRule="auto"/>
        <w:jc w:val="both"/>
        <w:rPr>
          <w:sz w:val="24"/>
          <w:szCs w:val="24"/>
        </w:rPr>
      </w:pPr>
      <w:sdt>
        <w:sdtPr>
          <w:id w:val="776738049"/>
          <w:tag w:val="goog_rdk_5"/>
        </w:sdtPr>
        <w:sdtContent>
          <w:r w:rsidDel="00000000" w:rsidR="00000000" w:rsidRPr="00000000">
            <w:rPr>
              <w:rFonts w:ascii="Gungsuh" w:cs="Gungsuh" w:eastAsia="Gungsuh" w:hAnsi="Gungsuh"/>
              <w:sz w:val="24"/>
              <w:szCs w:val="24"/>
              <w:rtl w:val="0"/>
            </w:rPr>
            <w:t xml:space="preserve">Dual circulation is not a sudden advancement in the armies of Chinese strategy; instead, it is the natural progression of Xi's security strategy. Made in China 2025 (中国制造2025),</w:t>
          </w:r>
        </w:sdtContent>
      </w:sdt>
      <w:r w:rsidDel="00000000" w:rsidR="00000000" w:rsidRPr="00000000">
        <w:rPr>
          <w:sz w:val="24"/>
          <w:szCs w:val="24"/>
          <w:vertAlign w:val="superscript"/>
          <w:rtl w:val="0"/>
        </w:rPr>
        <w:t xml:space="preserve">11</w:t>
      </w:r>
      <w:r w:rsidDel="00000000" w:rsidR="00000000" w:rsidRPr="00000000">
        <w:rPr>
          <w:sz w:val="24"/>
          <w:szCs w:val="24"/>
          <w:rtl w:val="0"/>
        </w:rPr>
        <w:t xml:space="preserve"> the military-civil fusion strategy, as well as Xi's consistent framing since 2014 of national security through economic security.</w:t>
      </w:r>
      <w:r w:rsidDel="00000000" w:rsidR="00000000" w:rsidRPr="00000000">
        <w:rPr>
          <w:sz w:val="24"/>
          <w:szCs w:val="24"/>
          <w:vertAlign w:val="superscript"/>
          <w:rtl w:val="0"/>
        </w:rPr>
        <w:t xml:space="preserve">12</w:t>
      </w:r>
      <w:r w:rsidDel="00000000" w:rsidR="00000000" w:rsidRPr="00000000">
        <w:rPr>
          <w:sz w:val="24"/>
          <w:szCs w:val="24"/>
          <w:rtl w:val="0"/>
        </w:rPr>
        <w:t xml:space="preserve"> The Belt and Road Initiative</w:t>
      </w:r>
      <w:r w:rsidDel="00000000" w:rsidR="00000000" w:rsidRPr="00000000">
        <w:rPr>
          <w:sz w:val="24"/>
          <w:szCs w:val="24"/>
          <w:vertAlign w:val="superscript"/>
          <w:rtl w:val="0"/>
        </w:rPr>
        <w:t xml:space="preserve">13</w:t>
      </w:r>
      <w:r w:rsidDel="00000000" w:rsidR="00000000" w:rsidRPr="00000000">
        <w:rPr>
          <w:sz w:val="24"/>
          <w:szCs w:val="24"/>
          <w:rtl w:val="0"/>
        </w:rPr>
        <w:t xml:space="preserve"> and Made in China 2025,</w:t>
      </w:r>
      <w:r w:rsidDel="00000000" w:rsidR="00000000" w:rsidRPr="00000000">
        <w:rPr>
          <w:sz w:val="24"/>
          <w:szCs w:val="24"/>
          <w:vertAlign w:val="superscript"/>
          <w:rtl w:val="0"/>
        </w:rPr>
        <w:t xml:space="preserve">11</w:t>
      </w:r>
      <w:r w:rsidDel="00000000" w:rsidR="00000000" w:rsidRPr="00000000">
        <w:rPr>
          <w:sz w:val="24"/>
          <w:szCs w:val="24"/>
          <w:rtl w:val="0"/>
        </w:rPr>
        <w:t xml:space="preserve">  before dual circulation, functioned at first as a policy buzzword, but when falling from Xi's mouth, solidifies into a broader strategic direction, which was implemented into action across the party apparatus. The pattern is echoed throughout, Beijing announces an economic initiative while Western analysts debate its economic merits, and its secondary purpose is a security architecture which goes glossed over for the economic considerations.</w:t>
      </w:r>
    </w:p>
    <w:p w:rsidR="00000000" w:rsidDel="00000000" w:rsidP="00000000" w:rsidRDefault="00000000" w:rsidRPr="00000000" w14:paraId="0000006E">
      <w:pPr>
        <w:spacing w:after="160" w:line="276" w:lineRule="auto"/>
        <w:jc w:val="both"/>
        <w:rPr>
          <w:sz w:val="24"/>
          <w:szCs w:val="24"/>
        </w:rPr>
      </w:pPr>
      <w:r w:rsidDel="00000000" w:rsidR="00000000" w:rsidRPr="00000000">
        <w:rPr>
          <w:sz w:val="24"/>
          <w:szCs w:val="24"/>
          <w:rtl w:val="0"/>
        </w:rPr>
        <w:t xml:space="preserve">The implications of this Chinese policy and its enactments change Western policy implications correspondingly. If this policy of dual circulation is tied as closely to the military-economic doctrine as it seems to be, rather than an economic policy, evaluating it upon domestic economic success is faulty. Regardless of a boost in domestic consumption, and therefore "failed", dual circulation will still succeed in indigenizing semiconductor production as well as reducing financial exposure to US sanctions and FDPRs. As such, it can fail in economic theory but succeed in geopolitical stratagem. The original liberal belief of China's ascension to the WTO was that it would inspire more Western, liberal, democratic principles within China; instead, it simply enabled the nation to utilize international benefits without shifting. This would be another step in the same practice, economic shifts utilized to game the system. For US policymakers, such a reframing suggests a different response, a competitive response is not trade pressure but instead a parallel effort to understand and contest the chokepoints Beijing is attempting to seal. If American policy wishes to preserve leverage over China, it must orient itself around preserving leverage in the sectors China is sealing, or find new pressure points China has not yet become aware of.</w:t>
      </w:r>
    </w:p>
    <w:p w:rsidR="00000000" w:rsidDel="00000000" w:rsidP="00000000" w:rsidRDefault="00000000" w:rsidRPr="00000000" w14:paraId="0000006F">
      <w:pPr>
        <w:spacing w:after="160" w:line="276" w:lineRule="auto"/>
        <w:jc w:val="both"/>
        <w:rPr>
          <w:sz w:val="24"/>
          <w:szCs w:val="24"/>
        </w:rPr>
      </w:pPr>
      <w:r w:rsidDel="00000000" w:rsidR="00000000" w:rsidRPr="00000000">
        <w:rPr>
          <w:sz w:val="24"/>
          <w:szCs w:val="24"/>
          <w:rtl w:val="0"/>
        </w:rPr>
        <w:t xml:space="preserve">Dual circulation is not an economic response to COVID, nor a reaction to trade war pressures imposed upon the West. The West had leverage through FDPRs, sanctions, and chokepoints it retained through its rein on the global economy; however, this leverage has atrophied greatly. The dual circulation policy implemented is not just reactionary; it is also preparatory for an insulated economy, untouchable to Western powers' intervention and restriction. America's economic power, utilized against Russia and Iran, has been revealed, the West has played its hand; China's response is to mitigate its influence from the inside. The evidence of Beijing's own texts suggests a deliberate doctrine redesigned to make China's strategic position less vulnerable to these powers of pressure that Washington has depended upon in the past two decades.</w:t>
      </w:r>
    </w:p>
    <w:p w:rsidR="00000000" w:rsidDel="00000000" w:rsidP="00000000" w:rsidRDefault="00000000" w:rsidRPr="00000000" w14:paraId="00000070">
      <w:pPr>
        <w:spacing w:line="276" w:lineRule="auto"/>
        <w:rPr>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Infrastructure as Leverage: Chinese AI and Its Consequences</w:t>
      </w:r>
      <w:r w:rsidDel="00000000" w:rsidR="00000000" w:rsidRPr="00000000">
        <w:rPr>
          <w:rtl w:val="0"/>
        </w:rPr>
      </w:r>
    </w:p>
    <w:p w:rsidR="00000000" w:rsidDel="00000000" w:rsidP="00000000" w:rsidRDefault="00000000" w:rsidRPr="00000000" w14:paraId="00000072">
      <w:pPr>
        <w:spacing w:after="120" w:lineRule="auto"/>
        <w:rPr/>
      </w:pPr>
      <w:r w:rsidDel="00000000" w:rsidR="00000000" w:rsidRPr="00000000">
        <w:rPr>
          <w:i w:val="1"/>
          <w:iCs w:val="1"/>
          <w:color w:val="000000"/>
          <w:sz w:val="22"/>
          <w:szCs w:val="22"/>
          <w:rtl w:val="0"/>
        </w:rPr>
        <w:t xml:space="preserve">Alexandra Jingsi Ni, Jack Lindstrom</w:t>
      </w:r>
      <w:r w:rsidDel="00000000" w:rsidR="00000000" w:rsidRPr="00000000">
        <w:rPr>
          <w:rtl w:val="0"/>
        </w:rPr>
      </w:r>
    </w:p>
    <w:p w:rsidR="00000000" w:rsidDel="00000000" w:rsidP="00000000" w:rsidRDefault="00000000" w:rsidRPr="00000000" w14:paraId="00000073">
      <w:pPr>
        <w:spacing w:after="240" w:before="240" w:line="276" w:lineRule="auto"/>
        <w:rPr>
          <w:sz w:val="24"/>
          <w:szCs w:val="24"/>
        </w:rPr>
      </w:pPr>
      <w:r w:rsidDel="00000000" w:rsidR="00000000" w:rsidRPr="00000000">
        <w:rPr>
          <w:sz w:val="24"/>
          <w:szCs w:val="24"/>
          <w:rtl w:val="0"/>
        </w:rPr>
        <w:t xml:space="preserve">In November 2025, as the world was swept up in the AI revolution, Singapore made a unique decision, relinquishing Meta’s Llama and instead building it’s sovereign AI model on Alibaba’s Qwen.</w:t>
      </w:r>
      <w:r w:rsidDel="00000000" w:rsidR="00000000" w:rsidRPr="00000000">
        <w:rPr>
          <w:sz w:val="24"/>
          <w:szCs w:val="24"/>
          <w:vertAlign w:val="superscript"/>
          <w:rtl w:val="0"/>
        </w:rPr>
        <w:t xml:space="preserve">1</w:t>
      </w:r>
      <w:r w:rsidDel="00000000" w:rsidR="00000000" w:rsidRPr="00000000">
        <w:rPr>
          <w:sz w:val="24"/>
          <w:szCs w:val="24"/>
          <w:rtl w:val="0"/>
        </w:rPr>
        <w:t xml:space="preserve"> This development came after Singapore’s SEA-LION program’s deliberation, selecting Qwen due to its high scoring on Southeast Asian languages on the regional benchmark SEA-LION established, SEA-HELM. The program had previously been built on Llama and released a Gemma-based model only months prior; however, Singapore’s official decision was one of advancing regional sovereignty, largely due to the fact that the model is open-source and forkable. This reflected a deeper pattern, one of the significance of Chinese technology in the default choices which stretch far beyond Beijing's formal orbit. It is this logic in China's commitment in AI standard-setting in a global scope, especially on territories in the Global South where Western influences and the vigilance for national security are not overwhelmingly prevailing, and the opportunist peripheries of the Global North (such as some less advanced economies within the EU), is predicated on the overarching logic of shared interests and thereby asymmetrical dependence. Put bluntly, dependence on infrastructure innately outlasts changes in governance.</w:t>
      </w:r>
    </w:p>
    <w:p w:rsidR="00000000" w:rsidDel="00000000" w:rsidP="00000000" w:rsidRDefault="00000000" w:rsidRPr="00000000" w14:paraId="00000074">
      <w:pPr>
        <w:spacing w:after="240" w:before="240" w:line="276" w:lineRule="auto"/>
        <w:rPr>
          <w:sz w:val="24"/>
          <w:szCs w:val="24"/>
        </w:rPr>
      </w:pPr>
      <w:r w:rsidDel="00000000" w:rsidR="00000000" w:rsidRPr="00000000">
        <w:rPr>
          <w:sz w:val="24"/>
          <w:szCs w:val="24"/>
          <w:rtl w:val="0"/>
        </w:rPr>
        <w:t xml:space="preserve">Singapore’s decision is one that establishes a concerning pattern of powers choosing infrastructure benefits in the short term, for a cheaper price than competitors, but with a long-term cost of dependence and political leverage. China is the master of such negotiations, and this logic is embedded within Chinese domestic politics and foreign policies alike. It is an embodiment of China's strategic preference for transactional exchange of interests, i.e., Quid pro quo, and infrastructural hostage to lock down long-term political-economic benefits and adherence to the advantage of the ruling CCP both at home and abroad. One should note that this idiosyncratic tactic is deliberately devoid of Western values, ideologies, and idealism, such as democracy, universal human rights, and political accountability, as fundamental principles to shape and constrain behaviors of state actors and govern human societies. Therefore, AI standard-setting is constantly modified and updated by competing political-economic forces, rather than a result of unimpeded technological dissemination and evolution into all possibilities and scenarios.</w:t>
      </w:r>
    </w:p>
    <w:p w:rsidR="00000000" w:rsidDel="00000000" w:rsidP="00000000" w:rsidRDefault="00000000" w:rsidRPr="00000000" w14:paraId="00000075">
      <w:pPr>
        <w:spacing w:after="240" w:before="240" w:line="276" w:lineRule="auto"/>
        <w:rPr>
          <w:sz w:val="24"/>
          <w:szCs w:val="24"/>
        </w:rPr>
      </w:pPr>
      <w:r w:rsidDel="00000000" w:rsidR="00000000" w:rsidRPr="00000000">
        <w:rPr>
          <w:sz w:val="24"/>
          <w:szCs w:val="24"/>
          <w:rtl w:val="0"/>
        </w:rPr>
        <w:t xml:space="preserve">This dynamic is far from speechcraft and rhetorical influence. Beijing's 2018 China Standards 2035 push, as well as the 2021 National Standardization Development Outline following it, explicitly direct Chinese firms to increase their technical capabilities and export Chinese-set specifications internationally in priority sectors including AI, using Belt and Road projects and standards bodies as delivery channels.</w:t>
      </w:r>
      <w:r w:rsidDel="00000000" w:rsidR="00000000" w:rsidRPr="00000000">
        <w:rPr>
          <w:sz w:val="24"/>
          <w:szCs w:val="24"/>
          <w:vertAlign w:val="superscript"/>
          <w:rtl w:val="0"/>
        </w:rPr>
        <w:t xml:space="preserve">2</w:t>
      </w:r>
      <w:r w:rsidDel="00000000" w:rsidR="00000000" w:rsidRPr="00000000">
        <w:rPr>
          <w:sz w:val="24"/>
          <w:szCs w:val="24"/>
          <w:rtl w:val="0"/>
        </w:rPr>
        <w:t xml:space="preserve"> This is a large step from how Western-led standards bodies such as the International Organization for Standardization operate, as such institutions are voluntary and multi-stakeholder, aggregating competing input from firms and national delegations without a single government directing the outcome. China's approach is deliberately different, explicitly subordinating standard-setting to the state's industrial strategy.</w:t>
      </w:r>
    </w:p>
    <w:p w:rsidR="00000000" w:rsidDel="00000000" w:rsidP="00000000" w:rsidRDefault="00000000" w:rsidRPr="00000000" w14:paraId="00000076">
      <w:pPr>
        <w:spacing w:after="240" w:before="240" w:line="276" w:lineRule="auto"/>
        <w:rPr>
          <w:sz w:val="24"/>
          <w:szCs w:val="24"/>
        </w:rPr>
      </w:pPr>
      <w:r w:rsidDel="00000000" w:rsidR="00000000" w:rsidRPr="00000000">
        <w:rPr>
          <w:sz w:val="24"/>
          <w:szCs w:val="24"/>
          <w:rtl w:val="0"/>
        </w:rPr>
        <w:t xml:space="preserve">Put bluntly, Beijing is actively seeking to establish projects that create international obedience to China through slow and deliberate standardization of Chinese technology.</w:t>
      </w:r>
    </w:p>
    <w:p w:rsidR="00000000" w:rsidDel="00000000" w:rsidP="00000000" w:rsidRDefault="00000000" w:rsidRPr="00000000" w14:paraId="00000077">
      <w:pPr>
        <w:spacing w:after="240" w:before="240" w:line="276" w:lineRule="auto"/>
        <w:rPr>
          <w:sz w:val="24"/>
          <w:szCs w:val="24"/>
        </w:rPr>
      </w:pPr>
      <w:r w:rsidDel="00000000" w:rsidR="00000000" w:rsidRPr="00000000">
        <w:rPr>
          <w:sz w:val="24"/>
          <w:szCs w:val="24"/>
          <w:rtl w:val="0"/>
        </w:rPr>
        <w:t xml:space="preserve">The enthusiastically promoted One Belt, One Road Initiative (the BRI) aims at not only building physical infrastructure to integrate the Eurasian continent, but also absorbing countries and economies involved into China's orbit through, for example, technological dependence, and trade and investment reliance. The latter is intangible by nature, yet nonetheless addictive, country-specific, and potentially extortionate by coercive means at some point. China's AI standard is a technological shell with a monopolized political core inside. The Chinese authority wants to popularize and embed it as the default technological undercurrent for global adopters. The BRI reveals China's global ambition and expansive tendency under the disguise of multilateral co-development and a seemingly innocuous Chinese proposal for non-Western globalism. Once Chinese technological protocols, hardware specifications, and operating standards are organically integrated into the global AI blueprint, serving as the inherently exclusive and less compatible infrastructural foundation that applications rely critically upon to function, it can create enormous technological inertia for adopters. Extremely high switch costs to separate from it or simply to diversify by incorporating alternative systems can deter almost any second thought in a future scenario.</w:t>
      </w:r>
    </w:p>
    <w:p w:rsidR="00000000" w:rsidDel="00000000" w:rsidP="00000000" w:rsidRDefault="00000000" w:rsidRPr="00000000" w14:paraId="00000078">
      <w:pPr>
        <w:spacing w:after="240" w:before="240" w:line="276" w:lineRule="auto"/>
        <w:rPr>
          <w:sz w:val="24"/>
          <w:szCs w:val="24"/>
        </w:rPr>
      </w:pPr>
      <w:r w:rsidDel="00000000" w:rsidR="00000000" w:rsidRPr="00000000">
        <w:rPr>
          <w:sz w:val="24"/>
          <w:szCs w:val="24"/>
          <w:rtl w:val="0"/>
        </w:rPr>
        <w:t xml:space="preserve">This is reflected from a ground perspective as well as a bird's-eye view, as Ecuador's ECU-911 system, established under a 2011 agreement, was financed by a $240 million loan from Beijing.</w:t>
      </w:r>
      <w:r w:rsidDel="00000000" w:rsidR="00000000" w:rsidRPr="00000000">
        <w:rPr>
          <w:sz w:val="24"/>
          <w:szCs w:val="24"/>
          <w:vertAlign w:val="superscript"/>
          <w:rtl w:val="0"/>
        </w:rPr>
        <w:t xml:space="preserve">3</w:t>
      </w:r>
      <w:r w:rsidDel="00000000" w:rsidR="00000000" w:rsidRPr="00000000">
        <w:rPr>
          <w:sz w:val="24"/>
          <w:szCs w:val="24"/>
          <w:rtl w:val="0"/>
        </w:rPr>
        <w:t xml:space="preserve"> Ecuador contracted the Chinese state-owned CEIEC and hardware supplier Huawei to establish a nationwide surveillance and emergency-response network which went into operational capability in November 2016. Within a few years, the system relied on more than 4,300 Huawei-supplied cameras nationwide, including a facial recognition capability deployed at the airports in Quito and Guayaquil as well as the city of Cuenca.</w:t>
      </w:r>
      <w:r w:rsidDel="00000000" w:rsidR="00000000" w:rsidRPr="00000000">
        <w:rPr>
          <w:sz w:val="24"/>
          <w:szCs w:val="24"/>
          <w:vertAlign w:val="superscript"/>
          <w:rtl w:val="0"/>
        </w:rPr>
        <w:t xml:space="preserve">4</w:t>
      </w:r>
      <w:r w:rsidDel="00000000" w:rsidR="00000000" w:rsidRPr="00000000">
        <w:rPr>
          <w:sz w:val="24"/>
          <w:szCs w:val="24"/>
          <w:rtl w:val="0"/>
        </w:rPr>
        <w:t xml:space="preserve"> This tool, meant to be a crime-fighting establishment to Ecuadorans, was later reported to have fed footage to the country's domestic intelligence service. Ecuador's dependence on Chinese-built and Chinese-manufactured hardware for core public safety functions is precisely the kind of technological trap described; once installed, the cost of removing the cameras, servers, and software is high enough that a change in government will not lead to a systemic replacement. It is, put simply, a one-way entry trap.</w:t>
      </w:r>
    </w:p>
    <w:p w:rsidR="00000000" w:rsidDel="00000000" w:rsidP="00000000" w:rsidRDefault="00000000" w:rsidRPr="00000000" w14:paraId="00000079">
      <w:pPr>
        <w:spacing w:after="240" w:before="240" w:line="276" w:lineRule="auto"/>
        <w:rPr>
          <w:sz w:val="24"/>
          <w:szCs w:val="24"/>
        </w:rPr>
      </w:pPr>
      <w:r w:rsidDel="00000000" w:rsidR="00000000" w:rsidRPr="00000000">
        <w:rPr>
          <w:sz w:val="24"/>
          <w:szCs w:val="24"/>
          <w:rtl w:val="0"/>
        </w:rPr>
        <w:t xml:space="preserve">China dominates legacy chips through its remarkable manufacturing scale and extraordinary ability to cost-down. Weaponization of this competitive advantage by China is entirely possible. However, the country is strictly excluded from Extreme Ultraviolet Lithography (EUV) equipment provision that is monopolized by the Dutch firm, ASML, a restriction the Dutch government formalized through export-control regulations that took effect in September 2023 and tightened further in 2024.</w:t>
      </w:r>
      <w:r w:rsidDel="00000000" w:rsidR="00000000" w:rsidRPr="00000000">
        <w:rPr>
          <w:sz w:val="24"/>
          <w:szCs w:val="24"/>
          <w:vertAlign w:val="superscript"/>
          <w:rtl w:val="0"/>
        </w:rPr>
        <w:t xml:space="preserve">5</w:t>
      </w:r>
      <w:r w:rsidDel="00000000" w:rsidR="00000000" w:rsidRPr="00000000">
        <w:rPr>
          <w:sz w:val="24"/>
          <w:szCs w:val="24"/>
          <w:rtl w:val="0"/>
        </w:rPr>
        <w:t xml:space="preserve"> As well as advanced and high-capacity chips under the size of 7 nanometers, predominantly manufactured by TSMC for Nvidia, notably H100 and the Blackwell series, and others, exports of which have been subject to US licensing requirements since 2022.</w:t>
      </w:r>
      <w:r w:rsidDel="00000000" w:rsidR="00000000" w:rsidRPr="00000000">
        <w:rPr>
          <w:sz w:val="24"/>
          <w:szCs w:val="24"/>
          <w:vertAlign w:val="superscript"/>
          <w:rtl w:val="0"/>
        </w:rPr>
        <w:t xml:space="preserve">6</w:t>
      </w:r>
      <w:r w:rsidDel="00000000" w:rsidR="00000000" w:rsidRPr="00000000">
        <w:rPr>
          <w:sz w:val="24"/>
          <w:szCs w:val="24"/>
          <w:rtl w:val="0"/>
        </w:rPr>
        <w:t xml:space="preserve"> China's hostile and confrontational relationship with Taiwan carries a real, if debated, military risk rather than a fixed prediction. In 2021 the then-commander of US Indo-Pacific Command warned China could be capable of moving against Taiwan within six years, the so-called Davidson window, which runs through 2027, and a 2023 CSIS wargame of a Chinese amphibious invasion found that while a joint US-Taiwan-Japan defense would likely repel it, doing so would come at extraordinarily high military and economic cost to all sides, underscoring the risk to the security and stability of global advanced-chip supply chains.</w:t>
      </w:r>
      <w:r w:rsidDel="00000000" w:rsidR="00000000" w:rsidRPr="00000000">
        <w:rPr>
          <w:sz w:val="24"/>
          <w:szCs w:val="24"/>
          <w:vertAlign w:val="superscript"/>
          <w:rtl w:val="0"/>
        </w:rPr>
        <w:t xml:space="preserve">7</w:t>
      </w:r>
      <w:r w:rsidDel="00000000" w:rsidR="00000000" w:rsidRPr="00000000">
        <w:rPr>
          <w:sz w:val="24"/>
          <w:szCs w:val="24"/>
          <w:rtl w:val="0"/>
        </w:rPr>
        <w:t xml:space="preserve"> In addition, the intensifying competition and rivalry between the US and China for global preeminence, especially over high-techs that can be instrumentalized for defense, and military purposes or revolutionize economic productivity and sophistication, notably AI, add more geopolitical and geoeconomic uncertainties and contentions to an already volatile and tumultuous situation in the highly globalized semiconductor industry. AI serves as a modern catalyst for conflict; one must be wary of its implications for Chinese leverage.</w:t>
      </w:r>
    </w:p>
    <w:p w:rsidR="00000000" w:rsidDel="00000000" w:rsidP="00000000" w:rsidRDefault="00000000" w:rsidRPr="00000000" w14:paraId="0000007A">
      <w:pPr>
        <w:spacing w:after="240" w:before="240" w:line="276" w:lineRule="auto"/>
        <w:rPr>
          <w:sz w:val="24"/>
          <w:szCs w:val="24"/>
        </w:rPr>
      </w:pPr>
      <w:r w:rsidDel="00000000" w:rsidR="00000000" w:rsidRPr="00000000">
        <w:rPr>
          <w:sz w:val="24"/>
          <w:szCs w:val="24"/>
          <w:rtl w:val="0"/>
        </w:rPr>
        <w:t xml:space="preserve">For state actors that fall between the dueling giants in the US-China AI race, hedging between both powers is not a sustainable long-term strategy, especially from a strategic point of view. The key reasons behind this are America's secondary sanctions and American security and stability provisions for conflict-ridden regions, such as a 2023 nuclear umbrella extension to South Korea via the Washington Declaration, wherein major semiconductors such as Samsung and SK Hynix are located.</w:t>
      </w:r>
      <w:r w:rsidDel="00000000" w:rsidR="00000000" w:rsidRPr="00000000">
        <w:rPr>
          <w:sz w:val="24"/>
          <w:szCs w:val="24"/>
          <w:vertAlign w:val="superscript"/>
          <w:rtl w:val="0"/>
        </w:rPr>
        <w:t xml:space="preserve">8</w:t>
      </w:r>
      <w:r w:rsidDel="00000000" w:rsidR="00000000" w:rsidRPr="00000000">
        <w:rPr>
          <w:sz w:val="24"/>
          <w:szCs w:val="24"/>
          <w:rtl w:val="0"/>
        </w:rPr>
        <w:t xml:space="preserve"> The enormous market capacity possessed by the US and China, respectively, with politically filtered entry barriers and operational regulations, serves another role in the same rationale of unsustainable longevity of this middle ground strategy. Lastly, ongoing and deepening derisking or decoupling driven by political incompatibility, divergent economic ambition and interests, as well as colliding national security pursuits, all prove a barrier to this long-term strategy. State actors at this time can choose either the US or China, but not both, no matter how great the opportunity cost may be.</w:t>
      </w:r>
    </w:p>
    <w:p w:rsidR="00000000" w:rsidDel="00000000" w:rsidP="00000000" w:rsidRDefault="00000000" w:rsidRPr="00000000" w14:paraId="0000007B">
      <w:pPr>
        <w:spacing w:after="240" w:before="240" w:line="276" w:lineRule="auto"/>
        <w:rPr>
          <w:sz w:val="24"/>
          <w:szCs w:val="24"/>
        </w:rPr>
      </w:pPr>
      <w:r w:rsidDel="00000000" w:rsidR="00000000" w:rsidRPr="00000000">
        <w:rPr>
          <w:sz w:val="24"/>
          <w:szCs w:val="24"/>
          <w:rtl w:val="0"/>
        </w:rPr>
        <w:t xml:space="preserve">Singapore might seem to be an exception, and the country is walking on a tightrope. This tiny yet commercially prosperous financial and logistical hub with both Eastern and Western heritages in Southeast Asia positions itself as a bridge between the US and China. This strategic choice actually requires extraordinary diplomatic skills and another crucial precondition, which is that its relationship with China does not jeopardize the security interests of the US in the region and beyond, and the reverse is also true from China's strategic perspective. However, as the US-China AI race escalates, it might not be attainable in reality when the space for diplomatic maneuverings and strategic ambiguity ceases to exist in any viable form.</w:t>
      </w:r>
    </w:p>
    <w:p w:rsidR="00000000" w:rsidDel="00000000" w:rsidP="00000000" w:rsidRDefault="00000000" w:rsidRPr="00000000" w14:paraId="0000007C">
      <w:pPr>
        <w:spacing w:after="240" w:before="240" w:line="276" w:lineRule="auto"/>
        <w:rPr>
          <w:sz w:val="24"/>
          <w:szCs w:val="24"/>
        </w:rPr>
      </w:pPr>
      <w:r w:rsidDel="00000000" w:rsidR="00000000" w:rsidRPr="00000000">
        <w:rPr>
          <w:sz w:val="24"/>
          <w:szCs w:val="24"/>
          <w:rtl w:val="0"/>
        </w:rPr>
        <w:t xml:space="preserve">Singapore's position reflects the strain established by these policies; in 2024, a Singapore-registered firm, Megaspeed, backed the Chinese gaming and cloud company 7Road.</w:t>
      </w:r>
      <w:r w:rsidDel="00000000" w:rsidR="00000000" w:rsidRPr="00000000">
        <w:rPr>
          <w:sz w:val="24"/>
          <w:szCs w:val="24"/>
          <w:vertAlign w:val="superscript"/>
          <w:rtl w:val="0"/>
        </w:rPr>
        <w:t xml:space="preserve">9</w:t>
      </w:r>
      <w:r w:rsidDel="00000000" w:rsidR="00000000" w:rsidRPr="00000000">
        <w:rPr>
          <w:sz w:val="24"/>
          <w:szCs w:val="24"/>
          <w:rtl w:val="0"/>
        </w:rPr>
        <w:t xml:space="preserve"> Megaspeed committed to purchasing billions of dollars in Nvidia GPUs, even as Singapore's share of Nvidia's reported revenue vastly exceeded the quantity of chips delivered within its borders.</w:t>
      </w:r>
      <w:r w:rsidDel="00000000" w:rsidR="00000000" w:rsidRPr="00000000">
        <w:rPr>
          <w:sz w:val="24"/>
          <w:szCs w:val="24"/>
          <w:vertAlign w:val="superscript"/>
          <w:rtl w:val="0"/>
        </w:rPr>
        <w:t xml:space="preserve">10</w:t>
      </w:r>
      <w:r w:rsidDel="00000000" w:rsidR="00000000" w:rsidRPr="00000000">
        <w:rPr>
          <w:sz w:val="24"/>
          <w:szCs w:val="24"/>
          <w:rtl w:val="0"/>
        </w:rPr>
        <w:t xml:space="preserve"> This gap drew US scrutiny after China's DeepSeek was released in early 2025 as a competitive AI model that appeared to rely in part on restricted hardware from FDPRs. By early 2025, Singaporean prosecutors had separately charged individuals accused of routing Nvidia-powered servers through the city-state to China, thus underscoring the difficulty for a sophisticated, rules-based hub to keep its balancing act above suspicion once chip flows themselves become the arena for great power competition.</w:t>
      </w:r>
      <w:r w:rsidDel="00000000" w:rsidR="00000000" w:rsidRPr="00000000">
        <w:rPr>
          <w:sz w:val="24"/>
          <w:szCs w:val="24"/>
          <w:vertAlign w:val="superscript"/>
          <w:rtl w:val="0"/>
        </w:rPr>
        <w:t xml:space="preserve">11</w:t>
      </w:r>
      <w:r w:rsidDel="00000000" w:rsidR="00000000" w:rsidRPr="00000000">
        <w:rPr>
          <w:rtl w:val="0"/>
        </w:rPr>
      </w:r>
    </w:p>
    <w:p w:rsidR="00000000" w:rsidDel="00000000" w:rsidP="00000000" w:rsidRDefault="00000000" w:rsidRPr="00000000" w14:paraId="0000007D">
      <w:pPr>
        <w:spacing w:after="240" w:before="240" w:line="276" w:lineRule="auto"/>
        <w:rPr>
          <w:sz w:val="24"/>
          <w:szCs w:val="24"/>
        </w:rPr>
      </w:pPr>
      <w:r w:rsidDel="00000000" w:rsidR="00000000" w:rsidRPr="00000000">
        <w:rPr>
          <w:sz w:val="24"/>
          <w:szCs w:val="24"/>
          <w:rtl w:val="0"/>
        </w:rPr>
        <w:t xml:space="preserve">It is noteworthy that China's infamous red supply chains have already infiltrated deeply into those of its neighboring countries and economies, notably Singapore, Malaysia, Taiwan, South Korea and even Japan. These destinations are plagued by rampant smuggling of advanced chips and servers to China's jurisdiction. Apart from document forgery and establishing shell companies, the Chinese state controls a large number of shadow agents and entities hidden in the gray zones and institutional loopholes of the vast and expanding logistical networks in Asia centered around major hubs and powerhouses of electronics, semiconductors, and AI-related, high-tech industries. These aforementioned Asian countries rely critically on America's military protection to a significant degree. Yet, they also desire China's enormous markets in combination. If they truly outweigh security over trade opportunity, then they should resist gradual encroachment of China's expanding sphere of influence and thoroughly eliminate any presence of red supply chains in explicit and/or covert forms from their own networks, as well as upgrade their institutionalized oversight mechanisms to better cooperate with the US authorities. Otherwise, they too might be excluded from the emerging democratic and rule-based supply chain ecosystem built on shared values, mutual trust, and collective security.</w:t>
      </w:r>
    </w:p>
    <w:p w:rsidR="00000000" w:rsidDel="00000000" w:rsidP="00000000" w:rsidRDefault="00000000" w:rsidRPr="00000000" w14:paraId="0000007E">
      <w:pPr>
        <w:spacing w:after="240" w:before="240" w:line="276" w:lineRule="auto"/>
        <w:rPr>
          <w:sz w:val="24"/>
          <w:szCs w:val="24"/>
        </w:rPr>
      </w:pPr>
      <w:r w:rsidDel="00000000" w:rsidR="00000000" w:rsidRPr="00000000">
        <w:rPr>
          <w:sz w:val="24"/>
          <w:szCs w:val="24"/>
          <w:rtl w:val="0"/>
        </w:rPr>
        <w:t xml:space="preserve">The Chinese action to deliberately expand into other nations for its own gain is nothing new; however, it is critical to halt when it takes place deep within US-allied nations and occurs in the field of the most volatile technology yet established.</w:t>
      </w:r>
    </w:p>
    <w:p w:rsidR="00000000" w:rsidDel="00000000" w:rsidP="00000000" w:rsidRDefault="00000000" w:rsidRPr="00000000" w14:paraId="0000007F">
      <w:pPr>
        <w:spacing w:after="240" w:before="240" w:line="276" w:lineRule="auto"/>
        <w:rPr>
          <w:sz w:val="24"/>
          <w:szCs w:val="24"/>
        </w:rPr>
      </w:pPr>
      <w:r w:rsidDel="00000000" w:rsidR="00000000" w:rsidRPr="00000000">
        <w:rPr>
          <w:sz w:val="24"/>
          <w:szCs w:val="24"/>
          <w:rtl w:val="0"/>
        </w:rPr>
        <w:t xml:space="preserve">Risks and their presence are not hypothetical by nature; they are either actualized or resting at a potential to become such. US federal prosecutors have documented networks that relabeled and redistricted Nvidia H100 and H200 processors, falsified end-user paperwork, and reputedly exported hardware through Southeast Asian intermediaries to reach Chinese buyers.</w:t>
      </w:r>
      <w:r w:rsidDel="00000000" w:rsidR="00000000" w:rsidRPr="00000000">
        <w:rPr>
          <w:sz w:val="24"/>
          <w:szCs w:val="24"/>
          <w:vertAlign w:val="superscript"/>
          <w:rtl w:val="0"/>
        </w:rPr>
        <w:t xml:space="preserve">12</w:t>
      </w:r>
      <w:r w:rsidDel="00000000" w:rsidR="00000000" w:rsidRPr="00000000">
        <w:rPr>
          <w:sz w:val="24"/>
          <w:szCs w:val="24"/>
          <w:rtl w:val="0"/>
        </w:rPr>
        <w:t xml:space="preserve"> One of these buyers was a US-based network the Department of Justice claimed exported or attempted to export more than $160 million in restricted GPUs between October 2024 and May 2025.</w:t>
      </w:r>
      <w:r w:rsidDel="00000000" w:rsidR="00000000" w:rsidRPr="00000000">
        <w:rPr>
          <w:sz w:val="24"/>
          <w:szCs w:val="24"/>
          <w:vertAlign w:val="superscript"/>
          <w:rtl w:val="0"/>
        </w:rPr>
        <w:t xml:space="preserve">13</w:t>
      </w:r>
      <w:r w:rsidDel="00000000" w:rsidR="00000000" w:rsidRPr="00000000">
        <w:rPr>
          <w:sz w:val="24"/>
          <w:szCs w:val="24"/>
          <w:rtl w:val="0"/>
        </w:rPr>
        <w:t xml:space="preserve"> This evidence presents a clear realization of this risk. China pursues constant AI standard-setting and infrastructure exports; it should then be evident that workarounds to the chip supply chain controls are not separate initiatives from these. Instead, it is the establishment of a long-term strategy to create a durable, asymmetrical dependence that partner states find difficult to reverse- it is fundamentally a one-way entry trap.</w:t>
      </w:r>
    </w:p>
    <w:p w:rsidR="00000000" w:rsidDel="00000000" w:rsidP="00000000" w:rsidRDefault="00000000" w:rsidRPr="00000000" w14:paraId="00000080">
      <w:pPr>
        <w:spacing w:after="240" w:before="240" w:line="276" w:lineRule="auto"/>
        <w:rPr>
          <w:sz w:val="24"/>
          <w:szCs w:val="24"/>
        </w:rPr>
      </w:pPr>
      <w:r w:rsidDel="00000000" w:rsidR="00000000" w:rsidRPr="00000000">
        <w:rPr>
          <w:sz w:val="24"/>
          <w:szCs w:val="24"/>
          <w:rtl w:val="0"/>
        </w:rPr>
        <w:t xml:space="preserve">Both US policymakers as well as mid-sized and developing states which fall between the giants of Washington and Beijing have a response role to play. Washington must pair export-control enforcement, shuttering the transshipment loopholes exposed by Singapore, and retain an affordably priced alternative to Chinese infrastructure. Chinese leverage is a trap of economic appeal- Washington must respond with an even better one. Evidently, restriction does not work- at least not alone, and as such it is the economic counterpart of a deal to prevent abusive leverage from China taking hold. Partner governments of Washington must build institutional capacity to audit their digital and telecommunications supply chains for undisclosed Chinese state involvement. This must occur before infrastructure one-way trapping suffocates that state with a scarcity of alternatives.</w:t>
      </w:r>
    </w:p>
    <w:p w:rsidR="00000000" w:rsidDel="00000000" w:rsidP="00000000" w:rsidRDefault="00000000" w:rsidRPr="00000000" w14:paraId="00000081">
      <w:pPr>
        <w:spacing w:after="240" w:before="240" w:line="276" w:lineRule="auto"/>
        <w:rPr>
          <w:sz w:val="24"/>
          <w:szCs w:val="24"/>
        </w:rPr>
      </w:pPr>
      <w:r w:rsidDel="00000000" w:rsidR="00000000" w:rsidRPr="00000000">
        <w:rPr>
          <w:sz w:val="24"/>
          <w:szCs w:val="24"/>
          <w:rtl w:val="0"/>
        </w:rPr>
        <w:t xml:space="preserve">Without this combination of enforcement and alternatives, the shared interests Beijing offers will prove more durable, in practice, than the ad hoc coalitions Washington assembles to respond.</w:t>
      </w:r>
    </w:p>
    <w:p w:rsidR="00000000" w:rsidDel="00000000" w:rsidP="00000000" w:rsidRDefault="00000000" w:rsidRPr="00000000" w14:paraId="00000082">
      <w:pPr>
        <w:spacing w:after="240" w:before="240" w:line="276" w:lineRule="auto"/>
        <w:rPr>
          <w:sz w:val="24"/>
          <w:szCs w:val="24"/>
        </w:rPr>
      </w:pPr>
      <w:r w:rsidDel="00000000" w:rsidR="00000000" w:rsidRPr="00000000">
        <w:rPr>
          <w:sz w:val="24"/>
          <w:szCs w:val="24"/>
          <w:rtl w:val="0"/>
        </w:rPr>
        <w:t xml:space="preserve">Wars are not won with responsive strategies; they are won with initiative.</w:t>
      </w:r>
    </w:p>
    <w:p w:rsidR="00000000" w:rsidDel="00000000" w:rsidP="00000000" w:rsidRDefault="00000000" w:rsidRPr="00000000" w14:paraId="00000083">
      <w:pPr>
        <w:rPr/>
      </w:pPr>
      <w:r w:rsidDel="00000000" w:rsidR="00000000" w:rsidRPr="00000000">
        <w:br w:type="page"/>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Ruso-Sino Relations: An Arctic Approach</w:t>
      </w:r>
      <w:r w:rsidDel="00000000" w:rsidR="00000000" w:rsidRPr="00000000">
        <w:rPr>
          <w:rtl w:val="0"/>
        </w:rPr>
      </w:r>
    </w:p>
    <w:p w:rsidR="00000000" w:rsidDel="00000000" w:rsidP="00000000" w:rsidRDefault="00000000" w:rsidRPr="00000000" w14:paraId="00000086">
      <w:pPr>
        <w:spacing w:after="120" w:lineRule="auto"/>
        <w:rPr>
          <w:sz w:val="24"/>
          <w:szCs w:val="24"/>
        </w:rPr>
      </w:pPr>
      <w:r w:rsidDel="00000000" w:rsidR="00000000" w:rsidRPr="00000000">
        <w:rPr>
          <w:i w:val="1"/>
          <w:iCs w:val="1"/>
          <w:color w:val="000000"/>
          <w:sz w:val="24"/>
          <w:szCs w:val="24"/>
          <w:rtl w:val="0"/>
        </w:rPr>
        <w:t xml:space="preserve">Samuel Oren Tustin, Jack Lindstrom</w:t>
      </w:r>
      <w:r w:rsidDel="00000000" w:rsidR="00000000" w:rsidRPr="00000000">
        <w:rPr>
          <w:rtl w:val="0"/>
        </w:rPr>
      </w:r>
    </w:p>
    <w:p w:rsidR="00000000" w:rsidDel="00000000" w:rsidP="00000000" w:rsidRDefault="00000000" w:rsidRPr="00000000" w14:paraId="00000087">
      <w:pPr>
        <w:spacing w:after="160" w:line="276" w:lineRule="auto"/>
        <w:jc w:val="both"/>
        <w:rPr>
          <w:sz w:val="24"/>
          <w:szCs w:val="24"/>
        </w:rPr>
      </w:pPr>
      <w:r w:rsidDel="00000000" w:rsidR="00000000" w:rsidRPr="00000000">
        <w:rPr>
          <w:sz w:val="24"/>
          <w:szCs w:val="24"/>
          <w:rtl w:val="0"/>
        </w:rPr>
        <w:t xml:space="preserve">Alliances between opponents are seen through a fearful lens by great powers; the enemy of an enemy is, in theory, a friend. It is this logic that leads to concern about rising alliances born out of shared opposition rather than shared interests. However, all relationships have their boundaries and limitations. Post-2022 sanctions pushed Russia toward deeper tactical cooperation with China across the Arctic, in fields of shipping, security and energy, as well as critical minerals. However, this partnership holds a pattern in each echelon, expanding operational convergence layered over unresolved structural insecurity and distrust. Russian doctrine treats the High North as sovereign strategic space; Chinese doctrine treats it as a node in a global commercial network. That divergence, visible in Arctic shipping and security policy, is just as visible, and arguably more consequential, in the two countries' approach to rare earths and critical minerals, where Moscow's growing dependence on Chinese capital, technology, and offtake is beginning to mirror the same vulnerabilities already exposed by the Arctic LNG 2 project.</w:t>
      </w:r>
    </w:p>
    <w:p w:rsidR="00000000" w:rsidDel="00000000" w:rsidP="00000000" w:rsidRDefault="00000000" w:rsidRPr="00000000" w14:paraId="00000088">
      <w:pPr>
        <w:spacing w:after="160" w:line="276" w:lineRule="auto"/>
        <w:jc w:val="both"/>
        <w:rPr>
          <w:sz w:val="24"/>
          <w:szCs w:val="24"/>
        </w:rPr>
      </w:pPr>
      <w:r w:rsidDel="00000000" w:rsidR="00000000" w:rsidRPr="00000000">
        <w:rPr>
          <w:sz w:val="24"/>
          <w:szCs w:val="24"/>
          <w:rtl w:val="0"/>
        </w:rPr>
        <w:t xml:space="preserve">This piece argues that the Russia-China Arctic relationship should be read as one instance of a broader pattern: a tactical, sanctions-driven partnership in which China supplies what Russia lacks (capital, technology, market access) without ceding the sovereignty and long-term autonomy Moscow is unwilling to trade away. Sections I through III trace that pattern through Arctic doctrine, military and shipping cooperation, and the Arctic LNG 2 case. Section IV extends the argument to critical minerals, where Russia's vast but underdeveloped rare earth reserves are becoming both a point of leverage over the West and a new axis of dependence on Beijing.</w:t>
      </w:r>
    </w:p>
    <w:p w:rsidR="00000000" w:rsidDel="00000000" w:rsidP="00000000" w:rsidRDefault="00000000" w:rsidRPr="00000000" w14:paraId="00000089">
      <w:pPr>
        <w:spacing w:after="160" w:line="276" w:lineRule="auto"/>
        <w:jc w:val="both"/>
        <w:rPr>
          <w:sz w:val="24"/>
          <w:szCs w:val="24"/>
        </w:rPr>
      </w:pPr>
      <w:r w:rsidDel="00000000" w:rsidR="00000000" w:rsidRPr="00000000">
        <w:rPr>
          <w:sz w:val="24"/>
          <w:szCs w:val="24"/>
          <w:rtl w:val="0"/>
        </w:rPr>
        <w:t xml:space="preserve">Russia's Arctic strategy after 2022 increasingly reflects a shift from economic development towards securitization and strategic competition. Earlier Arctic policy frameworks emphasized resource extraction, shipping development, and international investment, but the geopolitical consequences of the war in Ukraine fundamentally altered Moscow's Arctic posture. Russia's Arctic Strategy 2035, the 2022 Maritime Doctrine, and the 2023 Foreign Policy Concept all frame the Arctic as a core sphere of Russian sovereignty and long-term strategic security.</w:t>
      </w:r>
      <w:r w:rsidDel="00000000" w:rsidR="00000000" w:rsidRPr="00000000">
        <w:rPr>
          <w:sz w:val="24"/>
          <w:szCs w:val="24"/>
          <w:vertAlign w:val="superscript"/>
          <w:rtl w:val="0"/>
        </w:rPr>
        <w:t xml:space="preserve">1</w:t>
      </w:r>
      <w:r w:rsidDel="00000000" w:rsidR="00000000" w:rsidRPr="00000000">
        <w:rPr>
          <w:rtl w:val="0"/>
        </w:rPr>
      </w:r>
    </w:p>
    <w:p w:rsidR="00000000" w:rsidDel="00000000" w:rsidP="00000000" w:rsidRDefault="00000000" w:rsidRPr="00000000" w14:paraId="0000008A">
      <w:pPr>
        <w:spacing w:after="160" w:line="276" w:lineRule="auto"/>
        <w:jc w:val="both"/>
        <w:rPr>
          <w:sz w:val="24"/>
          <w:szCs w:val="24"/>
        </w:rPr>
      </w:pPr>
      <w:r w:rsidDel="00000000" w:rsidR="00000000" w:rsidRPr="00000000">
        <w:rPr>
          <w:sz w:val="24"/>
          <w:szCs w:val="24"/>
          <w:rtl w:val="0"/>
        </w:rPr>
        <w:t xml:space="preserve">At the center of this sphere of influence is the Northern Sea Route (NSR). Russian policymakers increasingly describe the NSR not simply as an economic route and shipping lane but as a sovereign strategic wedge and piece of infrastructure under Russian jurisdiction. This approach towards sovereignty has increased in intensity alongside the ascension of Finland and Sweden into NATO in conjunction with growing Russian concerns over Western confrontation and activity in the High North.</w:t>
      </w:r>
      <w:r w:rsidDel="00000000" w:rsidR="00000000" w:rsidRPr="00000000">
        <w:rPr>
          <w:sz w:val="24"/>
          <w:szCs w:val="24"/>
          <w:vertAlign w:val="superscript"/>
          <w:rtl w:val="0"/>
        </w:rPr>
        <w:t xml:space="preserve">2</w:t>
      </w:r>
      <w:r w:rsidDel="00000000" w:rsidR="00000000" w:rsidRPr="00000000">
        <w:rPr>
          <w:sz w:val="24"/>
          <w:szCs w:val="24"/>
          <w:rtl w:val="0"/>
        </w:rPr>
        <w:t xml:space="preserve">  This accession of traditionally neutral states has begun expanding NATO influence further and further into what Russia considers its sphere of control in the Arctic. Russian strategic discourse increasingly portrays the Arctic as a defensive bastion essential to preserving national security, nuclear deterrence, and Russia's status as a great power.</w:t>
      </w:r>
      <w:r w:rsidDel="00000000" w:rsidR="00000000" w:rsidRPr="00000000">
        <w:rPr>
          <w:sz w:val="24"/>
          <w:szCs w:val="24"/>
          <w:vertAlign w:val="superscript"/>
          <w:rtl w:val="0"/>
        </w:rPr>
        <w:t xml:space="preserve">3</w:t>
      </w:r>
      <w:r w:rsidDel="00000000" w:rsidR="00000000" w:rsidRPr="00000000">
        <w:rPr>
          <w:rtl w:val="0"/>
        </w:rPr>
      </w:r>
    </w:p>
    <w:p w:rsidR="00000000" w:rsidDel="00000000" w:rsidP="00000000" w:rsidRDefault="00000000" w:rsidRPr="00000000" w14:paraId="0000008B">
      <w:pPr>
        <w:spacing w:after="160" w:line="276" w:lineRule="auto"/>
        <w:jc w:val="both"/>
        <w:rPr>
          <w:sz w:val="24"/>
          <w:szCs w:val="24"/>
        </w:rPr>
      </w:pPr>
      <w:r w:rsidDel="00000000" w:rsidR="00000000" w:rsidRPr="00000000">
        <w:rPr>
          <w:sz w:val="24"/>
          <w:szCs w:val="24"/>
          <w:rtl w:val="0"/>
        </w:rPr>
        <w:t xml:space="preserve">At the same time, sanctions imposed after 2022 significantly weakened Russia's ability to independently pursue Arctic economic ambitions. Restrictions targeting shipping access, liquefaction technology, energy infrastructure, and international financing disrupted large-scale Arctic projects central to Russia's long-term Arctic strategy.</w:t>
      </w:r>
      <w:r w:rsidDel="00000000" w:rsidR="00000000" w:rsidRPr="00000000">
        <w:rPr>
          <w:sz w:val="24"/>
          <w:szCs w:val="24"/>
          <w:vertAlign w:val="superscript"/>
          <w:rtl w:val="0"/>
        </w:rPr>
        <w:t xml:space="preserve">4</w:t>
      </w:r>
      <w:r w:rsidDel="00000000" w:rsidR="00000000" w:rsidRPr="00000000">
        <w:rPr>
          <w:sz w:val="24"/>
          <w:szCs w:val="24"/>
          <w:rtl w:val="0"/>
        </w:rPr>
        <w:t xml:space="preserve"> This produced a contradiction at the core of Russia's Arctic posture. While Moscow intensified sovereignty-focused rhetoric and securitized Arctic governance, sanctions simultaneously increased Russia's dependence on foreign economic support, particularly from China, to sustain Arctic development.</w:t>
      </w:r>
    </w:p>
    <w:p w:rsidR="00000000" w:rsidDel="00000000" w:rsidP="00000000" w:rsidRDefault="00000000" w:rsidRPr="00000000" w14:paraId="0000008C">
      <w:pPr>
        <w:spacing w:after="160" w:line="276" w:lineRule="auto"/>
        <w:jc w:val="both"/>
        <w:rPr>
          <w:sz w:val="24"/>
          <w:szCs w:val="24"/>
        </w:rPr>
      </w:pPr>
      <w:r w:rsidDel="00000000" w:rsidR="00000000" w:rsidRPr="00000000">
        <w:rPr>
          <w:sz w:val="24"/>
          <w:szCs w:val="24"/>
          <w:rtl w:val="0"/>
        </w:rPr>
        <w:t xml:space="preserve">Post-2022 geopolitical pressure accelerated tactical cooperation between Russia and China across the Arctic as well as the surrounding maritime regions. Military coordination expanded through a series of joint naval patrols, bomber operations, and coast guard activities near Alaska and the Bering Strait. These exercises have functioned primarily as strategic signaling directed at the United States and NATO while demonstrating increasing and brazen operational coordination between Moscow and Beijing.</w:t>
      </w:r>
      <w:r w:rsidDel="00000000" w:rsidR="00000000" w:rsidRPr="00000000">
        <w:rPr>
          <w:sz w:val="24"/>
          <w:szCs w:val="24"/>
          <w:vertAlign w:val="superscript"/>
          <w:rtl w:val="0"/>
        </w:rPr>
        <w:t xml:space="preserve">5</w:t>
      </w:r>
      <w:r w:rsidDel="00000000" w:rsidR="00000000" w:rsidRPr="00000000">
        <w:rPr>
          <w:sz w:val="24"/>
          <w:szCs w:val="24"/>
          <w:rtl w:val="0"/>
        </w:rPr>
        <w:t xml:space="preserve"> Alongside military activity, Chinese financing and logistical support became increasingly important to Russia's Arctic ambitions. Chinese firms maintained a significant portion of investments in Russian Arctic energy infrastructure, while Chinese shipping networks and logistical systems offered Moscow alternative economic channels under sanctions pressure. China's Polar Silk Road initiative further linked Arctic shipping routes to broader Belt and Road infrastructure networks connecting Eurasian maritime trade corridors and its many global distribution systems.</w:t>
      </w:r>
      <w:r w:rsidDel="00000000" w:rsidR="00000000" w:rsidRPr="00000000">
        <w:rPr>
          <w:sz w:val="24"/>
          <w:szCs w:val="24"/>
          <w:vertAlign w:val="superscript"/>
          <w:rtl w:val="0"/>
        </w:rPr>
        <w:t xml:space="preserve">6</w:t>
      </w:r>
      <w:r w:rsidDel="00000000" w:rsidR="00000000" w:rsidRPr="00000000">
        <w:rPr>
          <w:sz w:val="24"/>
          <w:szCs w:val="24"/>
          <w:rtl w:val="0"/>
        </w:rPr>
        <w:t xml:space="preserve"> Russia and China also converged politically in opposition to expanding Western influence within the Arctic governance structures following the Scandinavian ascension in the past years. Following the collapse of normal Arctic Council cooperation after 2022, both Moscow and Beijing increasingly criticized Western efforts to isolate Russia diplomatically in the High North. Shared opposition to NATO expansion and Western maritime dominance created overlapping short-term interests between the two states, which increasingly propelled the two powers into further collaboration.</w:t>
      </w:r>
      <w:r w:rsidDel="00000000" w:rsidR="00000000" w:rsidRPr="00000000">
        <w:rPr>
          <w:sz w:val="24"/>
          <w:szCs w:val="24"/>
          <w:vertAlign w:val="superscript"/>
          <w:rtl w:val="0"/>
        </w:rPr>
        <w:t xml:space="preserve">7</w:t>
      </w:r>
      <w:r w:rsidDel="00000000" w:rsidR="00000000" w:rsidRPr="00000000">
        <w:rPr>
          <w:sz w:val="24"/>
          <w:szCs w:val="24"/>
          <w:rtl w:val="0"/>
        </w:rPr>
        <w:t xml:space="preserve"> Despite this growing coordination, however, Russia-China Arctic cooperation remains primarily tactical rather than fully strategic. Operational collaboration has expanded significantly, but there is little evidence of deep institutional integration or long-term strategic trust. Cooperation largely reflects converging geopolitical pressures rather than the emergence of a unified Arctic alliance.</w:t>
      </w:r>
      <w:r w:rsidDel="00000000" w:rsidR="00000000" w:rsidRPr="00000000">
        <w:rPr>
          <w:sz w:val="24"/>
          <w:szCs w:val="24"/>
          <w:vertAlign w:val="superscript"/>
          <w:rtl w:val="0"/>
        </w:rPr>
        <w:t xml:space="preserve">8</w:t>
      </w:r>
      <w:r w:rsidDel="00000000" w:rsidR="00000000" w:rsidRPr="00000000">
        <w:rPr>
          <w:rtl w:val="0"/>
        </w:rPr>
      </w:r>
    </w:p>
    <w:p w:rsidR="00000000" w:rsidDel="00000000" w:rsidP="00000000" w:rsidRDefault="00000000" w:rsidRPr="00000000" w14:paraId="0000008D">
      <w:pPr>
        <w:spacing w:after="160" w:line="276" w:lineRule="auto"/>
        <w:jc w:val="both"/>
        <w:rPr>
          <w:sz w:val="24"/>
          <w:szCs w:val="24"/>
        </w:rPr>
      </w:pPr>
      <w:r w:rsidDel="00000000" w:rsidR="00000000" w:rsidRPr="00000000">
        <w:rPr>
          <w:sz w:val="24"/>
          <w:szCs w:val="24"/>
          <w:rtl w:val="0"/>
        </w:rPr>
        <w:t xml:space="preserve">The clearest example of both expanding cooperation and underlying structural tensions is the Arctic LNG 2 project. Intended to serve as a cornerstone of Russia's Arctic energy strategy, Arctic LNG 2 became increasingly dependent on Chinese investment, shipping access, and equipment support after Western sanctions intensified. Chinese firms held substantial stakes in the project, while Russia relied heavily on Chinese commercial participation and engagement to offset its loss of Western technology and financing.</w:t>
      </w:r>
      <w:r w:rsidDel="00000000" w:rsidR="00000000" w:rsidRPr="00000000">
        <w:rPr>
          <w:sz w:val="24"/>
          <w:szCs w:val="24"/>
          <w:vertAlign w:val="superscript"/>
          <w:rtl w:val="0"/>
        </w:rPr>
        <w:t xml:space="preserve">9</w:t>
      </w:r>
      <w:r w:rsidDel="00000000" w:rsidR="00000000" w:rsidRPr="00000000">
        <w:rPr>
          <w:rtl w:val="0"/>
        </w:rPr>
      </w:r>
    </w:p>
    <w:p w:rsidR="00000000" w:rsidDel="00000000" w:rsidP="00000000" w:rsidRDefault="00000000" w:rsidRPr="00000000" w14:paraId="0000008E">
      <w:pPr>
        <w:spacing w:after="160" w:line="276" w:lineRule="auto"/>
        <w:jc w:val="both"/>
        <w:rPr>
          <w:sz w:val="24"/>
          <w:szCs w:val="24"/>
        </w:rPr>
      </w:pPr>
      <w:r w:rsidDel="00000000" w:rsidR="00000000" w:rsidRPr="00000000">
        <w:rPr>
          <w:sz w:val="24"/>
          <w:szCs w:val="24"/>
          <w:rtl w:val="0"/>
        </w:rPr>
        <w:t xml:space="preserve">At the same time, Arctic LNG 2 exposed the vulnerability created by growing dependence on one another. Following tightened U.S. sanctions in 2025, Chinese companies reportedly halted or delayed critical equipment deliveries tied to the project. Arctic LNG subsequently faced operational disruptions linked to shortages of sanctioned LNG carriers, infrastructure bottlenecks, and logistical constraints. The project demonstrated that sanctions had quietly reduced Russia's independent Arctic capacity while increasing Moscow's reliance on Chinese economic participation.</w:t>
      </w:r>
      <w:r w:rsidDel="00000000" w:rsidR="00000000" w:rsidRPr="00000000">
        <w:rPr>
          <w:sz w:val="24"/>
          <w:szCs w:val="24"/>
          <w:vertAlign w:val="superscript"/>
          <w:rtl w:val="0"/>
        </w:rPr>
        <w:t xml:space="preserve">10</w:t>
      </w:r>
      <w:r w:rsidDel="00000000" w:rsidR="00000000" w:rsidRPr="00000000">
        <w:rPr>
          <w:sz w:val="24"/>
          <w:szCs w:val="24"/>
          <w:rtl w:val="0"/>
        </w:rPr>
        <w:t xml:space="preserve"> Russia's growing dependence on Chinese capital and equipment has not translated into full strategic alignment.</w:t>
      </w:r>
      <w:r w:rsidDel="00000000" w:rsidR="00000000" w:rsidRPr="00000000">
        <w:rPr>
          <w:sz w:val="24"/>
          <w:szCs w:val="24"/>
          <w:vertAlign w:val="superscript"/>
          <w:rtl w:val="0"/>
        </w:rPr>
        <w:t xml:space="preserve">11</w:t>
      </w:r>
      <w:r w:rsidDel="00000000" w:rsidR="00000000" w:rsidRPr="00000000">
        <w:rPr>
          <w:sz w:val="24"/>
          <w:szCs w:val="24"/>
          <w:rtl w:val="0"/>
        </w:rPr>
        <w:t xml:space="preserve"> Moscow continues to restrict Chinese military access to Arctic infrastructure and has never permitted permanent Chinese submarine basing in Arctic ports despite increasing bilateral cooperation elsewhere.</w:t>
      </w:r>
      <w:r w:rsidDel="00000000" w:rsidR="00000000" w:rsidRPr="00000000">
        <w:rPr>
          <w:sz w:val="24"/>
          <w:szCs w:val="24"/>
          <w:vertAlign w:val="superscript"/>
          <w:rtl w:val="0"/>
        </w:rPr>
        <w:t xml:space="preserve">12</w:t>
      </w:r>
      <w:r w:rsidDel="00000000" w:rsidR="00000000" w:rsidRPr="00000000">
        <w:rPr>
          <w:sz w:val="24"/>
          <w:szCs w:val="24"/>
          <w:rtl w:val="0"/>
        </w:rPr>
        <w:t xml:space="preserve"> Russian policymakers remain deeply protective of Arctic sovereignty and continue to frame the region as exclusively Russian strategic space. This creates a significant tension between Russian sovereignty claims and China's Polar Silk Road ambitions. Russian doctrine emphasizes its national jurisdiction, sovereign control over Arctic transit, and strategic exclusivity along the Northern Sea Route.</w:t>
      </w:r>
      <w:r w:rsidDel="00000000" w:rsidR="00000000" w:rsidRPr="00000000">
        <w:rPr>
          <w:sz w:val="24"/>
          <w:szCs w:val="24"/>
          <w:vertAlign w:val="superscript"/>
          <w:rtl w:val="0"/>
        </w:rPr>
        <w:t xml:space="preserve">13</w:t>
      </w:r>
      <w:r w:rsidDel="00000000" w:rsidR="00000000" w:rsidRPr="00000000">
        <w:rPr>
          <w:sz w:val="24"/>
          <w:szCs w:val="24"/>
          <w:rtl w:val="0"/>
        </w:rPr>
        <w:t xml:space="preserve"> China, by contrast, frames the Arctic through the language of international commerce, multilateral governance, and global connectivity. Beijing's long-term Arctic vision depends on expanding infrastructural integration and commercial access, while Moscow seeks to preserve sovereign control over Arctic governance and transit systems.</w:t>
      </w:r>
      <w:r w:rsidDel="00000000" w:rsidR="00000000" w:rsidRPr="00000000">
        <w:rPr>
          <w:sz w:val="24"/>
          <w:szCs w:val="24"/>
          <w:vertAlign w:val="superscript"/>
          <w:rtl w:val="0"/>
        </w:rPr>
        <w:t xml:space="preserve">14</w:t>
      </w:r>
      <w:r w:rsidDel="00000000" w:rsidR="00000000" w:rsidRPr="00000000">
        <w:rPr>
          <w:rtl w:val="0"/>
        </w:rPr>
      </w:r>
    </w:p>
    <w:p w:rsidR="00000000" w:rsidDel="00000000" w:rsidP="00000000" w:rsidRDefault="00000000" w:rsidRPr="00000000" w14:paraId="0000008F">
      <w:pPr>
        <w:spacing w:after="160" w:line="276" w:lineRule="auto"/>
        <w:jc w:val="both"/>
        <w:rPr>
          <w:sz w:val="24"/>
          <w:szCs w:val="24"/>
        </w:rPr>
      </w:pPr>
      <w:r w:rsidDel="00000000" w:rsidR="00000000" w:rsidRPr="00000000">
        <w:rPr>
          <w:sz w:val="24"/>
          <w:szCs w:val="24"/>
          <w:rtl w:val="0"/>
        </w:rPr>
        <w:t xml:space="preserve">Russia's Arctic doctrine, like the doctrine of most powers, is based not merely on whims but rather on principles of grand strategy. As such, Russian doctrine at present is not merely shipping lanes and naval bastions but increasingly the pathway of rare earth and critical minerals, a sector in which the Arctic LNG 2 pattern repeats itself. Russian officials have claimed the country holds nearly 28.7 million tons of rare earth element (REE) reserves, a figure reported via Russian state media and cited by the Jamestown Foundation,</w:t>
      </w:r>
      <w:r w:rsidDel="00000000" w:rsidR="00000000" w:rsidRPr="00000000">
        <w:rPr>
          <w:sz w:val="24"/>
          <w:szCs w:val="24"/>
          <w:vertAlign w:val="superscript"/>
          <w:rtl w:val="0"/>
        </w:rPr>
        <w:t xml:space="preserve">15</w:t>
      </w:r>
      <w:r w:rsidDel="00000000" w:rsidR="00000000" w:rsidRPr="00000000">
        <w:rPr>
          <w:sz w:val="24"/>
          <w:szCs w:val="24"/>
          <w:rtl w:val="0"/>
        </w:rPr>
        <w:t xml:space="preserve"> which would rank Russia among the world's richest in REE if accurate. The US Geological Survey independently estimates a conservative 3.8 million tons, ranking Russia fifth globally.</w:t>
      </w:r>
      <w:r w:rsidDel="00000000" w:rsidR="00000000" w:rsidRPr="00000000">
        <w:rPr>
          <w:sz w:val="24"/>
          <w:szCs w:val="24"/>
          <w:vertAlign w:val="superscript"/>
          <w:rtl w:val="0"/>
        </w:rPr>
        <w:t xml:space="preserve">16</w:t>
      </w:r>
      <w:r w:rsidDel="00000000" w:rsidR="00000000" w:rsidRPr="00000000">
        <w:rPr>
          <w:sz w:val="24"/>
          <w:szCs w:val="24"/>
          <w:rtl w:val="0"/>
        </w:rPr>
        <w:t xml:space="preserve"> The distribution of these reserves leads to prominent pockets of Russian resources, particularly in the base of the Arctic zone. The Murmansk region contains an estimated 13.2 million tons alone, whereas the Lovozero deposit contains close to half of Russia's known REE ore.</w:t>
      </w:r>
      <w:r w:rsidDel="00000000" w:rsidR="00000000" w:rsidRPr="00000000">
        <w:rPr>
          <w:sz w:val="24"/>
          <w:szCs w:val="24"/>
          <w:vertAlign w:val="superscript"/>
          <w:rtl w:val="0"/>
        </w:rPr>
        <w:t xml:space="preserve">17</w:t>
      </w:r>
      <w:r w:rsidDel="00000000" w:rsidR="00000000" w:rsidRPr="00000000">
        <w:rPr>
          <w:sz w:val="24"/>
          <w:szCs w:val="24"/>
          <w:rtl w:val="0"/>
        </w:rPr>
        <w:t xml:space="preserve"> Tomtorskoye in the Russian Arctic additionally has one of the highest ore concentrations of REE anywhere in the world.</w:t>
      </w:r>
      <w:r w:rsidDel="00000000" w:rsidR="00000000" w:rsidRPr="00000000">
        <w:rPr>
          <w:sz w:val="24"/>
          <w:szCs w:val="24"/>
          <w:vertAlign w:val="superscript"/>
          <w:rtl w:val="0"/>
        </w:rPr>
        <w:t xml:space="preserve">18</w:t>
      </w:r>
      <w:r w:rsidDel="00000000" w:rsidR="00000000" w:rsidRPr="00000000">
        <w:rPr>
          <w:rtl w:val="0"/>
        </w:rPr>
      </w:r>
    </w:p>
    <w:p w:rsidR="00000000" w:rsidDel="00000000" w:rsidP="00000000" w:rsidRDefault="00000000" w:rsidRPr="00000000" w14:paraId="00000090">
      <w:pPr>
        <w:spacing w:after="160" w:line="276" w:lineRule="auto"/>
        <w:jc w:val="both"/>
        <w:rPr>
          <w:sz w:val="24"/>
          <w:szCs w:val="24"/>
        </w:rPr>
      </w:pPr>
      <w:r w:rsidDel="00000000" w:rsidR="00000000" w:rsidRPr="00000000">
        <w:rPr>
          <w:sz w:val="24"/>
          <w:szCs w:val="24"/>
          <w:rtl w:val="0"/>
        </w:rPr>
        <w:t xml:space="preserve">The gap between reserves and capacity is a chokepoint where dependence upon China is reinforced. Russia imports roughly 90 percent of its REE requirements, producing only 2,500 metric tons domestically in 2024, a mere 0.6 percent of the global output that year. This reflects Soviet-era processing infrastructure and crippling underinvestment,</w:t>
      </w:r>
      <w:r w:rsidDel="00000000" w:rsidR="00000000" w:rsidRPr="00000000">
        <w:rPr>
          <w:sz w:val="24"/>
          <w:szCs w:val="24"/>
          <w:vertAlign w:val="superscript"/>
          <w:rtl w:val="0"/>
        </w:rPr>
        <w:t xml:space="preserve">19</w:t>
      </w:r>
      <w:r w:rsidDel="00000000" w:rsidR="00000000" w:rsidRPr="00000000">
        <w:rPr>
          <w:sz w:val="24"/>
          <w:szCs w:val="24"/>
          <w:rtl w:val="0"/>
        </w:rPr>
        <w:t xml:space="preserve"> resulting in a system that remains underdeveloped despite its great potential.</w:t>
      </w:r>
      <w:r w:rsidDel="00000000" w:rsidR="00000000" w:rsidRPr="00000000">
        <w:rPr>
          <w:sz w:val="24"/>
          <w:szCs w:val="24"/>
          <w:vertAlign w:val="superscript"/>
          <w:rtl w:val="0"/>
        </w:rPr>
        <w:t xml:space="preserve">20</w:t>
      </w:r>
      <w:r w:rsidDel="00000000" w:rsidR="00000000" w:rsidRPr="00000000">
        <w:rPr>
          <w:sz w:val="24"/>
          <w:szCs w:val="24"/>
          <w:rtl w:val="0"/>
        </w:rPr>
        <w:t xml:space="preserve"> In November of 2025, Putin ordered the government to produce a roadmap for expanding domestic REE mining and processing by December 1.</w:t>
      </w:r>
      <w:r w:rsidDel="00000000" w:rsidR="00000000" w:rsidRPr="00000000">
        <w:rPr>
          <w:sz w:val="24"/>
          <w:szCs w:val="24"/>
          <w:vertAlign w:val="superscript"/>
          <w:rtl w:val="0"/>
        </w:rPr>
        <w:t xml:space="preserve">21</w:t>
      </w:r>
      <w:r w:rsidDel="00000000" w:rsidR="00000000" w:rsidRPr="00000000">
        <w:rPr>
          <w:sz w:val="24"/>
          <w:szCs w:val="24"/>
          <w:rtl w:val="0"/>
        </w:rPr>
        <w:t xml:space="preserve"> Moscow also pursued a $9.2 billion rare earth processing hub in the Angara-Yenisei Valley. This valley is overseen by Sergei Shoigu and is intended to raise Russia's share of global REE from 1.3 to 10 percent by 2030.</w:t>
      </w:r>
      <w:r w:rsidDel="00000000" w:rsidR="00000000" w:rsidRPr="00000000">
        <w:rPr>
          <w:sz w:val="24"/>
          <w:szCs w:val="24"/>
          <w:vertAlign w:val="superscript"/>
          <w:rtl w:val="0"/>
        </w:rPr>
        <w:t xml:space="preserve">22</w:t>
      </w:r>
      <w:r w:rsidDel="00000000" w:rsidR="00000000" w:rsidRPr="00000000">
        <w:rPr>
          <w:sz w:val="24"/>
          <w:szCs w:val="24"/>
          <w:rtl w:val="0"/>
        </w:rPr>
        <w:t xml:space="preserve"> The REDMET-2026 congress, hosted by Rosatom in Moscow, was an extended attempt to position Russia as an REE supply chain partner for nations such as India and China, even while Russian officials concede the nation is dependent upon Chinese processing capacity in the present and short term.</w:t>
      </w:r>
      <w:r w:rsidDel="00000000" w:rsidR="00000000" w:rsidRPr="00000000">
        <w:rPr>
          <w:sz w:val="24"/>
          <w:szCs w:val="24"/>
          <w:vertAlign w:val="superscript"/>
          <w:rtl w:val="0"/>
        </w:rPr>
        <w:t xml:space="preserve">23</w:t>
      </w:r>
      <w:r w:rsidDel="00000000" w:rsidR="00000000" w:rsidRPr="00000000">
        <w:rPr>
          <w:rtl w:val="0"/>
        </w:rPr>
      </w:r>
    </w:p>
    <w:p w:rsidR="00000000" w:rsidDel="00000000" w:rsidP="00000000" w:rsidRDefault="00000000" w:rsidRPr="00000000" w14:paraId="00000091">
      <w:pPr>
        <w:spacing w:after="160" w:line="276" w:lineRule="auto"/>
        <w:jc w:val="both"/>
        <w:rPr>
          <w:sz w:val="24"/>
          <w:szCs w:val="24"/>
        </w:rPr>
      </w:pPr>
      <w:r w:rsidDel="00000000" w:rsidR="00000000" w:rsidRPr="00000000">
        <w:rPr>
          <w:sz w:val="24"/>
          <w:szCs w:val="24"/>
          <w:rtl w:val="0"/>
        </w:rPr>
        <w:t xml:space="preserve">It is this dependence that benefits China both structurally and technically: China controls approximately 60 percent of global rare earth mining and nearly 90 percent of refining capacity, and its export-licensing regime requires foreign buyers to disclose client lists, stockpiles, and production forecasts, allowing China to monitor downstream industries nation-by-nation and anticipate how each would respond to a supply chain disruption. The Arctic Institute has separately documented how China's mineral dominance is producing ripple effects throughout the Arctic as a whole, as Western states pursue alternative supply chains through strategies such as the Minerals Security Partnership, designed deliberately to reduce this exposure.</w:t>
      </w:r>
      <w:r w:rsidDel="00000000" w:rsidR="00000000" w:rsidRPr="00000000">
        <w:rPr>
          <w:sz w:val="24"/>
          <w:szCs w:val="24"/>
          <w:vertAlign w:val="superscript"/>
          <w:rtl w:val="0"/>
        </w:rPr>
        <w:t xml:space="preserve">24</w:t>
      </w:r>
      <w:r w:rsidDel="00000000" w:rsidR="00000000" w:rsidRPr="00000000">
        <w:rPr>
          <w:rtl w:val="0"/>
        </w:rPr>
      </w:r>
    </w:p>
    <w:p w:rsidR="00000000" w:rsidDel="00000000" w:rsidP="00000000" w:rsidRDefault="00000000" w:rsidRPr="00000000" w14:paraId="00000092">
      <w:pPr>
        <w:spacing w:after="160" w:line="276" w:lineRule="auto"/>
        <w:jc w:val="both"/>
        <w:rPr>
          <w:sz w:val="24"/>
          <w:szCs w:val="24"/>
        </w:rPr>
      </w:pPr>
      <w:r w:rsidDel="00000000" w:rsidR="00000000" w:rsidRPr="00000000">
        <w:rPr>
          <w:sz w:val="24"/>
          <w:szCs w:val="24"/>
          <w:rtl w:val="0"/>
        </w:rPr>
        <w:t xml:space="preserve"> Russia's Arctic REE reserves sit upon a unique intersection of powers; they provide Moscow leverage with anxious Western powers seeking to decouple themselves from China, while also stranding Russia without the processing that China, at present, alone can supply at scale.</w:t>
      </w:r>
    </w:p>
    <w:p w:rsidR="00000000" w:rsidDel="00000000" w:rsidP="00000000" w:rsidRDefault="00000000" w:rsidRPr="00000000" w14:paraId="00000093">
      <w:pPr>
        <w:spacing w:after="160" w:line="276" w:lineRule="auto"/>
        <w:jc w:val="both"/>
        <w:rPr>
          <w:sz w:val="24"/>
          <w:szCs w:val="24"/>
        </w:rPr>
      </w:pPr>
      <w:r w:rsidDel="00000000" w:rsidR="00000000" w:rsidRPr="00000000">
        <w:rPr>
          <w:sz w:val="24"/>
          <w:szCs w:val="24"/>
          <w:rtl w:val="0"/>
        </w:rPr>
        <w:t xml:space="preserve">The result of this unique positioning is akin to that of the Arctic LNG 2 pattern; Russia holds a resource, but China holds the technology, capital, and market access needed to monetize it. Moscow's sovereignty-first posture, which prevents Chinese submarines from using Arctic ports, similarly limits the terms of the Beijing-Moscow relationship and constrains the extent to which Beijing is able to influence the extraction and processing side of the mineral relationship. Critical minerals, therefore, are not a separate track from Russia's Arctic security posture but instead innately related to it. They provide a different lens on the same view of Russo-Sino power plays.</w:t>
      </w:r>
    </w:p>
    <w:p w:rsidR="00000000" w:rsidDel="00000000" w:rsidP="00000000" w:rsidRDefault="00000000" w:rsidRPr="00000000" w14:paraId="00000094">
      <w:pPr>
        <w:spacing w:after="160" w:line="276" w:lineRule="auto"/>
        <w:jc w:val="both"/>
        <w:rPr/>
      </w:pPr>
      <w:r w:rsidDel="00000000" w:rsidR="00000000" w:rsidRPr="00000000">
        <w:rPr>
          <w:sz w:val="24"/>
          <w:szCs w:val="24"/>
          <w:rtl w:val="0"/>
        </w:rPr>
        <w:t xml:space="preserve">The Russia-China Arctic relationship is not one of brothers-in-arms so much as a tactical partnership with boundaries outlined by sanctions, pressure, and converging opposition to Western influence. That is to say, it is not, like the Soviet Union, a unified Arctic bloc. Cooperation between Moscow and Beijing has expanded significantly since 2022, with an emphasis on energy, shipping, maritime security, and most recently, critical minerals. The partnership, however, remains structurally limited by competing visions of Arctic order and by Russian concerns that growing dependence on Chinese participation, whether for LNG carriers or rare earth processing, may lead to a depletion of Moscow's long-term autonomy in the High North. For Western policymakers watching this relationship for signs of a genuine Sino-Russian Arctic axis, the more useful indicator is the absence; it is where Moscow lets Beijing in and, more crucially, where China is iced out.</w:t>
      </w: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The Southern Reach</w:t>
      </w:r>
      <w:r w:rsidDel="00000000" w:rsidR="00000000" w:rsidRPr="00000000">
        <w:rPr>
          <w:rtl w:val="0"/>
        </w:rPr>
      </w:r>
    </w:p>
    <w:p w:rsidR="00000000" w:rsidDel="00000000" w:rsidP="00000000" w:rsidRDefault="00000000" w:rsidRPr="00000000" w14:paraId="00000096">
      <w:pPr>
        <w:spacing w:after="120" w:lineRule="auto"/>
        <w:rPr>
          <w:sz w:val="24"/>
          <w:szCs w:val="24"/>
        </w:rPr>
      </w:pPr>
      <w:r w:rsidDel="00000000" w:rsidR="00000000" w:rsidRPr="00000000">
        <w:rPr>
          <w:i w:val="1"/>
          <w:iCs w:val="1"/>
          <w:color w:val="000000"/>
          <w:sz w:val="24"/>
          <w:szCs w:val="24"/>
          <w:rtl w:val="0"/>
        </w:rPr>
        <w:t xml:space="preserve">J. M. Lindstrom and Liam Albert</w:t>
      </w:r>
      <w:r w:rsidDel="00000000" w:rsidR="00000000" w:rsidRPr="00000000">
        <w:rPr>
          <w:rtl w:val="0"/>
        </w:rPr>
      </w:r>
    </w:p>
    <w:p w:rsidR="00000000" w:rsidDel="00000000" w:rsidP="00000000" w:rsidRDefault="00000000" w:rsidRPr="00000000" w14:paraId="00000097">
      <w:pPr>
        <w:spacing w:after="160" w:line="276" w:lineRule="auto"/>
        <w:jc w:val="both"/>
        <w:rPr>
          <w:sz w:val="24"/>
          <w:szCs w:val="24"/>
        </w:rPr>
      </w:pPr>
      <w:r w:rsidDel="00000000" w:rsidR="00000000" w:rsidRPr="00000000">
        <w:rPr>
          <w:sz w:val="24"/>
          <w:szCs w:val="24"/>
          <w:rtl w:val="0"/>
        </w:rPr>
        <w:t xml:space="preserve">Expansion in geopolitical terms is not simply domestic production or military growth; it is a network of allies or colonies, historically. It is the establishment of power that fuels a superpower beyond its competition. Colonies, however, are outdated, and, given the globalized nature of the modern world, trade often creates the international exchange once demanded by the empire; the modern power, it follows, is leverage. China's sponsorship of infrastructure in Latin America falls precisely into this category. China establishes developmental aid, which then crystallizes into dependency architecture, reflected primarily in port access, financing terms, and state-owned enterprise ownership structures. This pattern is consistent across the region: Chancay reflects the mechanism at work at a single port; the Hutchison controversy in Panama displays the compounded effect of this strategy over two decades. Recognition switches within Panama, the Dominican Republic, El Salvador, and Nicaragua display the end goal of this influence through infrastructure. It is the human view, however, on day-to-day life, that tells the same story from an inverse perspective, a reflecting pool of great-power competition in which Chinese infrastructure is simply invisible. This is because dependency architecture is built for national leverage, not for life in rural communities. Washington has, in contrast, a credible countermodel in the Lobito Corridor, although it has not yet scaled it. The gap is not money, therefore. It is execution and political will.</w:t>
      </w:r>
    </w:p>
    <w:p w:rsidR="00000000" w:rsidDel="00000000" w:rsidP="00000000" w:rsidRDefault="00000000" w:rsidRPr="00000000" w14:paraId="00000098">
      <w:pPr>
        <w:spacing w:after="100" w:before="200" w:lineRule="auto"/>
        <w:jc w:val="center"/>
        <w:rPr>
          <w:sz w:val="24"/>
          <w:szCs w:val="24"/>
        </w:rPr>
      </w:pPr>
      <w:r w:rsidDel="00000000" w:rsidR="00000000" w:rsidRPr="00000000">
        <w:rPr>
          <w:sz w:val="24"/>
          <w:szCs w:val="24"/>
        </w:rPr>
        <w:drawing>
          <wp:inline distB="0" distT="0" distL="0" distR="0">
            <wp:extent cx="5017111" cy="5929313"/>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017111" cy="5929313"/>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spacing w:after="100" w:before="200" w:lineRule="auto"/>
        <w:jc w:val="center"/>
        <w:rPr>
          <w:sz w:val="24"/>
          <w:szCs w:val="24"/>
        </w:rPr>
      </w:pPr>
      <w:r w:rsidDel="00000000" w:rsidR="00000000" w:rsidRPr="00000000">
        <w:rPr>
          <w:i w:val="1"/>
          <w:iCs w:val="1"/>
          <w:rtl w:val="0"/>
        </w:rPr>
        <w:t xml:space="preserve">Figure 1. Dependency architecture across Latin America, keyed to the mechanisms discussed in the text: port/SOE ownership (Chancay, Panama), debt-for-resource collateral (Ecuador, Venezuela), and Taiwan-to-Beijing recognition switches (Panama, the Dominican Republic, El Salvador, Nicaragua), with the Lobito Corridor shown as a comparative U.S./allied countermodel. Schematic; not to scale. Sources as cited throughout the text.</w:t>
      </w:r>
      <w:r w:rsidDel="00000000" w:rsidR="00000000" w:rsidRPr="00000000">
        <w:rPr>
          <w:rtl w:val="0"/>
        </w:rPr>
      </w:r>
    </w:p>
    <w:p w:rsidR="00000000" w:rsidDel="00000000" w:rsidP="00000000" w:rsidRDefault="00000000" w:rsidRPr="00000000" w14:paraId="0000009A">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The Pattern</w:t>
      </w:r>
      <w:r w:rsidDel="00000000" w:rsidR="00000000" w:rsidRPr="00000000">
        <w:rPr>
          <w:rtl w:val="0"/>
        </w:rPr>
      </w:r>
    </w:p>
    <w:p w:rsidR="00000000" w:rsidDel="00000000" w:rsidP="00000000" w:rsidRDefault="00000000" w:rsidRPr="00000000" w14:paraId="0000009B">
      <w:pPr>
        <w:spacing w:after="160" w:line="276" w:lineRule="auto"/>
        <w:jc w:val="both"/>
        <w:rPr>
          <w:sz w:val="24"/>
          <w:szCs w:val="24"/>
        </w:rPr>
      </w:pPr>
      <w:r w:rsidDel="00000000" w:rsidR="00000000" w:rsidRPr="00000000">
        <w:rPr>
          <w:sz w:val="24"/>
          <w:szCs w:val="24"/>
          <w:rtl w:val="0"/>
        </w:rPr>
        <w:t xml:space="preserve">Chinese infrastructure investment in Latin America runs almost exclusively through state-owned enterprises: COSCO in ports, State Grid in energy, Huawei in telecommunications, and CRRC in rail. The ownership structure is not a matter of convenience or coincidence so much as strategy. SOEs carry implicit state backing, giving them the ability to absorb longer return horizons than private capital tolerates, as well as to retain operational leverage long after construction is complete. That combination is what distinguishes Chinese infrastructure finance from conventional development aid: research on Chinese-financed port projects finds</w:t>
      </w:r>
      <w:r w:rsidDel="00000000" w:rsidR="00000000" w:rsidRPr="00000000">
        <w:rPr>
          <w:sz w:val="24"/>
          <w:szCs w:val="24"/>
          <w:vertAlign w:val="superscript"/>
          <w:rtl w:val="0"/>
        </w:rPr>
        <w:t xml:space="preserve">1</w:t>
      </w:r>
      <w:r w:rsidDel="00000000" w:rsidR="00000000" w:rsidRPr="00000000">
        <w:rPr>
          <w:sz w:val="24"/>
          <w:szCs w:val="24"/>
          <w:rtl w:val="0"/>
        </w:rPr>
        <w:t xml:space="preserve"> that centrally administered SOEs pursue strategic objectives that diverge from the profit-maximizing logic governing sub-national or private Chinese investment. The AEI China Global Investment Tracker records</w:t>
      </w:r>
      <w:r w:rsidDel="00000000" w:rsidR="00000000" w:rsidRPr="00000000">
        <w:rPr>
          <w:sz w:val="24"/>
          <w:szCs w:val="24"/>
          <w:vertAlign w:val="superscript"/>
          <w:rtl w:val="0"/>
        </w:rPr>
        <w:t xml:space="preserve">2</w:t>
      </w:r>
      <w:r w:rsidDel="00000000" w:rsidR="00000000" w:rsidRPr="00000000">
        <w:rPr>
          <w:sz w:val="24"/>
          <w:szCs w:val="24"/>
          <w:rtl w:val="0"/>
        </w:rPr>
        <w:t xml:space="preserve"> more than $2.5 trillion in cumulative Chinese overseas investment and construction, with Latin America's share growing; parallel lending data compiled by AidData</w:t>
      </w:r>
      <w:r w:rsidDel="00000000" w:rsidR="00000000" w:rsidRPr="00000000">
        <w:rPr>
          <w:sz w:val="24"/>
          <w:szCs w:val="24"/>
          <w:vertAlign w:val="superscript"/>
          <w:rtl w:val="0"/>
        </w:rPr>
        <w:t xml:space="preserve">3</w:t>
      </w:r>
      <w:r w:rsidDel="00000000" w:rsidR="00000000" w:rsidRPr="00000000">
        <w:rPr>
          <w:sz w:val="24"/>
          <w:szCs w:val="24"/>
          <w:rtl w:val="0"/>
        </w:rPr>
        <w:t xml:space="preserve"> and Boston University's Global Development Policy Center</w:t>
      </w:r>
      <w:r w:rsidDel="00000000" w:rsidR="00000000" w:rsidRPr="00000000">
        <w:rPr>
          <w:sz w:val="24"/>
          <w:szCs w:val="24"/>
          <w:vertAlign w:val="superscript"/>
          <w:rtl w:val="0"/>
        </w:rPr>
        <w:t xml:space="preserve">4</w:t>
      </w:r>
      <w:r w:rsidDel="00000000" w:rsidR="00000000" w:rsidRPr="00000000">
        <w:rPr>
          <w:sz w:val="24"/>
          <w:szCs w:val="24"/>
          <w:rtl w:val="0"/>
        </w:rPr>
        <w:t xml:space="preserve"> show the same trajectory. The sectoral logic compounds: as ports move goods and energy grids power economies, each piece of infrastructure becomes a chokepoint that generates more dependency the longer it operates, rather than a one-time transaction.</w:t>
      </w:r>
    </w:p>
    <w:p w:rsidR="00000000" w:rsidDel="00000000" w:rsidP="00000000" w:rsidRDefault="00000000" w:rsidRPr="00000000" w14:paraId="0000009C">
      <w:pPr>
        <w:spacing w:after="160" w:line="276" w:lineRule="auto"/>
        <w:jc w:val="both"/>
        <w:rPr>
          <w:sz w:val="24"/>
          <w:szCs w:val="24"/>
        </w:rPr>
      </w:pPr>
      <w:r w:rsidDel="00000000" w:rsidR="00000000" w:rsidRPr="00000000">
        <w:rPr>
          <w:sz w:val="24"/>
          <w:szCs w:val="24"/>
          <w:rtl w:val="0"/>
        </w:rPr>
        <w:t xml:space="preserve">Chancay is the clearest single illustration of the model at work. COSCO Shipping holds a 60 percent controlling stake in the $3.5 billion deepwater port on Peru's Pacific coast, a project that broke ground in 2019–2021 and moved into operation in November 2024. Peer-reviewed accounts of the project treat it as a chokepoint acquisition as much as a commercial one: a geography-journal study of the port's construction traces</w:t>
      </w:r>
      <w:r w:rsidDel="00000000" w:rsidR="00000000" w:rsidRPr="00000000">
        <w:rPr>
          <w:sz w:val="24"/>
          <w:szCs w:val="24"/>
          <w:vertAlign w:val="superscript"/>
          <w:rtl w:val="0"/>
        </w:rPr>
        <w:t xml:space="preserve">5</w:t>
      </w:r>
      <w:r w:rsidDel="00000000" w:rsidR="00000000" w:rsidRPr="00000000">
        <w:rPr>
          <w:sz w:val="24"/>
          <w:szCs w:val="24"/>
          <w:rtl w:val="0"/>
        </w:rPr>
        <w:t xml:space="preserve"> how Chinese capital is reshaping not just shipping routes but the city growing up around the port, while a peer-reviewed policy essay on the port's implications for U.S.-China rivalry identifies</w:t>
      </w:r>
      <w:r w:rsidDel="00000000" w:rsidR="00000000" w:rsidRPr="00000000">
        <w:rPr>
          <w:sz w:val="24"/>
          <w:szCs w:val="24"/>
          <w:vertAlign w:val="superscript"/>
          <w:rtl w:val="0"/>
        </w:rPr>
        <w:t xml:space="preserve">6</w:t>
      </w:r>
      <w:r w:rsidDel="00000000" w:rsidR="00000000" w:rsidRPr="00000000">
        <w:rPr>
          <w:sz w:val="24"/>
          <w:szCs w:val="24"/>
          <w:rtl w:val="0"/>
        </w:rPr>
        <w:t xml:space="preserve"> the absence of a credible Western financing alternative as the vulnerability the deal exposed. Peru did not accept these terms because they were favorable. It accepted them because no equivalent Western financing offer existed at the negotiating table. That is the pattern in miniature: the dependency was not imposed on Peru from outside. It was constructed through a series of individually rational decisions made by a government that had no alternative source of capital for a project at this scale. Multiply that decision across a continent and the aggregate picture is not sixty separate infrastructure deals. It is one recurring transaction, repeated wherever Western capital did not show up first.</w:t>
      </w:r>
    </w:p>
    <w:p w:rsidR="00000000" w:rsidDel="00000000" w:rsidP="00000000" w:rsidRDefault="00000000" w:rsidRPr="00000000" w14:paraId="0000009D">
      <w:pPr>
        <w:spacing w:after="160" w:line="276" w:lineRule="auto"/>
        <w:jc w:val="both"/>
        <w:rPr>
          <w:sz w:val="24"/>
          <w:szCs w:val="24"/>
        </w:rPr>
      </w:pPr>
      <w:r w:rsidDel="00000000" w:rsidR="00000000" w:rsidRPr="00000000">
        <w:rPr>
          <w:sz w:val="24"/>
          <w:szCs w:val="24"/>
          <w:rtl w:val="0"/>
        </w:rPr>
        <w:t xml:space="preserve">The connection of east and west through the Panama Canal is a clear point of contention between Eastern and Western powers vying for influence. The 2025–2026 controversy over Hutchison Whampoa's port concessions</w:t>
      </w:r>
      <w:r w:rsidDel="00000000" w:rsidR="00000000" w:rsidRPr="00000000">
        <w:rPr>
          <w:sz w:val="24"/>
          <w:szCs w:val="24"/>
          <w:vertAlign w:val="superscript"/>
          <w:rtl w:val="0"/>
        </w:rPr>
        <w:t xml:space="preserve">7</w:t>
      </w:r>
      <w:r w:rsidDel="00000000" w:rsidR="00000000" w:rsidRPr="00000000">
        <w:rPr>
          <w:sz w:val="24"/>
          <w:szCs w:val="24"/>
          <w:rtl w:val="0"/>
        </w:rPr>
        <w:t xml:space="preserve"> at the ends of the canal had been a long time coming. Hutchison had held these concessions since 1997; when the Trump administration raised objections in 2025, a sale process began, and Panama's Supreme Court ultimately voided the 1997 concession outright, showing that it took a diplomatic crisis to unwind a chokepoint position built over nearly three decades. Panama switched diplomatic recognition from Taiwan to Beijing in 2017, following a period of intensified Chinese economic engagement, a sequence that peer-reviewed research on the region's diplomatic switching </w:t>
      </w:r>
      <w:r w:rsidDel="00000000" w:rsidR="00000000" w:rsidRPr="00000000">
        <w:rPr>
          <w:sz w:val="24"/>
          <w:szCs w:val="24"/>
          <w:vertAlign w:val="superscript"/>
          <w:rtl w:val="0"/>
        </w:rPr>
        <w:t xml:space="preserve">8</w:t>
      </w:r>
      <w:r w:rsidDel="00000000" w:rsidR="00000000" w:rsidRPr="00000000">
        <w:rPr>
          <w:sz w:val="24"/>
          <w:szCs w:val="24"/>
          <w:rtl w:val="0"/>
        </w:rPr>
        <w:t xml:space="preserve"> and a companion study of Taiwan's recognition history</w:t>
      </w:r>
      <w:r w:rsidDel="00000000" w:rsidR="00000000" w:rsidRPr="00000000">
        <w:rPr>
          <w:sz w:val="24"/>
          <w:szCs w:val="24"/>
          <w:vertAlign w:val="superscript"/>
          <w:rtl w:val="0"/>
        </w:rPr>
        <w:t xml:space="preserve">9</w:t>
      </w:r>
      <w:r w:rsidDel="00000000" w:rsidR="00000000" w:rsidRPr="00000000">
        <w:rPr>
          <w:sz w:val="24"/>
          <w:szCs w:val="24"/>
          <w:rtl w:val="0"/>
        </w:rPr>
        <w:t xml:space="preserve">  both describe as a pattern in which Chinese economic engagement consistently precedes, rather than follows, recognition changes. The infrastructure position and the recognition switch were not coincidental; rather, they were part of the same relationship architecture, built years apart but reinforcing each other. That is why the leverage proved so durable: it was never a single transaction, but a flow of sediments building up until it had constructed a delta. The accumulation of power is what leveraged a chokepoint.</w:t>
      </w:r>
    </w:p>
    <w:p w:rsidR="00000000" w:rsidDel="00000000" w:rsidP="00000000" w:rsidRDefault="00000000" w:rsidRPr="00000000" w14:paraId="0000009E">
      <w:pPr>
        <w:spacing w:after="160" w:line="276" w:lineRule="auto"/>
        <w:jc w:val="both"/>
        <w:rPr>
          <w:sz w:val="24"/>
          <w:szCs w:val="24"/>
        </w:rPr>
      </w:pPr>
      <w:r w:rsidDel="00000000" w:rsidR="00000000" w:rsidRPr="00000000">
        <w:rPr>
          <w:sz w:val="24"/>
          <w:szCs w:val="24"/>
          <w:rtl w:val="0"/>
        </w:rPr>
        <w:t xml:space="preserve">The U.S. International Development Finance Corporation was primed to compete, capitalized at $60 billion under the 2018 BUILD Act and raised</w:t>
      </w:r>
      <w:r w:rsidDel="00000000" w:rsidR="00000000" w:rsidRPr="00000000">
        <w:rPr>
          <w:sz w:val="24"/>
          <w:szCs w:val="24"/>
          <w:vertAlign w:val="superscript"/>
          <w:rtl w:val="0"/>
        </w:rPr>
        <w:t xml:space="preserve">10</w:t>
      </w:r>
      <w:r w:rsidDel="00000000" w:rsidR="00000000" w:rsidRPr="00000000">
        <w:rPr>
          <w:sz w:val="24"/>
          <w:szCs w:val="24"/>
          <w:rtl w:val="0"/>
        </w:rPr>
        <w:t xml:space="preserve"> to $205 billion under the 2025 DFC Modernization and Reauthorization Act. It then deployed in Latin America, albeit unevenly, and the projects that mattered most for countering Chinese positioning sat within higher-risk environments, where DFC's mandate created structural hesitation. Chinese SOEs fill that gap by default, not because their terms are advantageous, but because they are simply everywhere their opposition is not. Investment thereby precedes alignment, and alignment is strung on the leash of dependency. This dependency is watched from Washington and Beijing alike, from satellites and trade records, but not, traditionally, through the eyes of individuals in those nations. Much the way one cannot stand in America and view both the Pacific and Atlantic Oceans, the geopolitical landscape is impossible to see from the ground. This is particularly true in the remote villages of Nicaragua.</w:t>
      </w:r>
    </w:p>
    <w:p w:rsidR="00000000" w:rsidDel="00000000" w:rsidP="00000000" w:rsidRDefault="00000000" w:rsidRPr="00000000" w14:paraId="0000009F">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The Ground Level</w:t>
      </w:r>
      <w:r w:rsidDel="00000000" w:rsidR="00000000" w:rsidRPr="00000000">
        <w:rPr>
          <w:rtl w:val="0"/>
        </w:rPr>
      </w:r>
    </w:p>
    <w:p w:rsidR="00000000" w:rsidDel="00000000" w:rsidP="00000000" w:rsidRDefault="00000000" w:rsidRPr="00000000" w14:paraId="000000A0">
      <w:pPr>
        <w:spacing w:after="160" w:line="276" w:lineRule="auto"/>
        <w:jc w:val="both"/>
        <w:rPr>
          <w:sz w:val="24"/>
          <w:szCs w:val="24"/>
        </w:rPr>
      </w:pPr>
      <w:r w:rsidDel="00000000" w:rsidR="00000000" w:rsidRPr="00000000">
        <w:rPr>
          <w:sz w:val="24"/>
          <w:szCs w:val="24"/>
          <w:rtl w:val="0"/>
        </w:rPr>
        <w:t xml:space="preserve">I am Liam Albert, and, unlike the rest of this piece, what follows is not an external analysis of the geopolitical landscape. It is a story of the local landscape, of humid heat and sweat-stained shirts, of volunteers and workers. It is the micro that Chinese influence does not touch, and the macro that Nicaraguan locals do not see. This is the story on the ground.</w:t>
      </w:r>
    </w:p>
    <w:p w:rsidR="00000000" w:rsidDel="00000000" w:rsidP="00000000" w:rsidRDefault="00000000" w:rsidRPr="00000000" w14:paraId="000000A1">
      <w:pPr>
        <w:spacing w:after="160" w:line="276" w:lineRule="auto"/>
        <w:jc w:val="both"/>
        <w:rPr>
          <w:sz w:val="24"/>
          <w:szCs w:val="24"/>
        </w:rPr>
      </w:pPr>
      <w:r w:rsidDel="00000000" w:rsidR="00000000" w:rsidRPr="00000000">
        <w:rPr>
          <w:sz w:val="24"/>
          <w:szCs w:val="24"/>
          <w:rtl w:val="0"/>
        </w:rPr>
        <w:t xml:space="preserve">I worked with EPICS and the Worldwide Child Relief Foundation in La Calle Real, a rural Nicaraguan community, to build a center for that community. The project is the true inverse of what I have researched regarding Chinese infrastructure investment in the region. Ownership of the community center was entirely local, administered through the WCRF; no external entities retain any stake or control once the building is finished. The labor was a joint effort of teams including WCRF volunteers, college students, engineering scholars through EPICS, and community members, all working side by side. It took about fifty workers and volunteers to erect the building, divided into different tasks for efficient construction; there was rarely a quiet moment; someone was always hammering something into place. Materials were sourced locally rather than imported; wood and tools were purchased from a hardware store across the street from the build site. Like all engineering projects, this required funding; this financing was entirely the result of charitable donations and fundraising. No loan instrument was attached to any part of the project, no conditions, and quite simply, no strings attached. Long-term maintenance is therefore the community's responsibility, to take care of what you need and want, so that it takes care of you. Our job was to put it up; theirs is now to keep it standing, but of course, that's in their best self-interest anyway. No government agency and no institution is involved in the maintenance or oversight; it was a matter of people helping people, rather than organizational or geopolitical influence. The project shutters when volunteers go home; what is left behind belongs, completely, to the people who will use it.</w:t>
      </w:r>
    </w:p>
    <w:p w:rsidR="00000000" w:rsidDel="00000000" w:rsidP="00000000" w:rsidRDefault="00000000" w:rsidRPr="00000000" w14:paraId="000000A2">
      <w:pPr>
        <w:spacing w:after="160" w:line="276" w:lineRule="auto"/>
        <w:jc w:val="both"/>
        <w:rPr>
          <w:sz w:val="24"/>
          <w:szCs w:val="24"/>
        </w:rPr>
      </w:pPr>
      <w:r w:rsidDel="00000000" w:rsidR="00000000" w:rsidRPr="00000000">
        <w:rPr>
          <w:sz w:val="24"/>
          <w:szCs w:val="24"/>
          <w:rtl w:val="0"/>
        </w:rPr>
        <w:t xml:space="preserve">Chinese infrastructure was nowhere to be found in the rural areas where I worked, although it was present, in a limited way, in major cities. Once outside these population bubbles, however, it appeared to be absent entirely. On the ground, one does not see the strings held above them; local opinion, when it came up at all, was sparse and largely disconnected from international politics; people were focused on the day in front of them. What surprised me was the sentiment toward Americans specifically: locals seemed to view the volunteers who came through as something closer to visiting economic activity than as representatives of a foreign power. Nobody brought up the United States' Cold War-era interventions in Nicaragua as a live grievance. Leverage, I saw, was not built into the rural communities, in much the same way a farmer in Kansas has little concern for how his soybeans are sold internationally, even though such trade deals make the news. Lives are lived in the micro; world politics are played in the macro. I knew Chinese influence was prevalent in investments, projects, and national systems that played to a more strategic position, but in La Calle Real, neither the returns nor the kind of leverage that investment is built to capture exists, so it simply isn't there.</w:t>
      </w:r>
    </w:p>
    <w:p w:rsidR="00000000" w:rsidDel="00000000" w:rsidP="00000000" w:rsidRDefault="00000000" w:rsidRPr="00000000" w14:paraId="000000A3">
      <w:pPr>
        <w:spacing w:after="160" w:line="276" w:lineRule="auto"/>
        <w:jc w:val="both"/>
        <w:rPr>
          <w:sz w:val="24"/>
          <w:szCs w:val="24"/>
        </w:rPr>
      </w:pPr>
      <w:r w:rsidDel="00000000" w:rsidR="00000000" w:rsidRPr="00000000">
        <w:rPr>
          <w:sz w:val="24"/>
          <w:szCs w:val="24"/>
          <w:rtl w:val="0"/>
        </w:rPr>
        <w:t xml:space="preserve">This divide between micro and macro stayed with me, particularly through the juxtaposition between La Calle Real and Managua. Nicaragua switched its diplomatic recognition from Taiwan to the People's Republic of China in December 2021, the most recent in a sequence that scholars of the region's diplomatic competition have linked</w:t>
      </w:r>
      <w:r w:rsidDel="00000000" w:rsidR="00000000" w:rsidRPr="00000000">
        <w:rPr>
          <w:sz w:val="24"/>
          <w:szCs w:val="24"/>
          <w:vertAlign w:val="superscript"/>
          <w:rtl w:val="0"/>
        </w:rPr>
        <w:t xml:space="preserve">11</w:t>
      </w:r>
      <w:r w:rsidDel="00000000" w:rsidR="00000000" w:rsidRPr="00000000">
        <w:rPr>
          <w:sz w:val="24"/>
          <w:szCs w:val="24"/>
          <w:rtl w:val="0"/>
        </w:rPr>
        <w:t xml:space="preserve"> to preceding waves of Chinese economic engagement; that decision was made in the capital, by people with no visible connection to the community I was working and living in. The families who will use the WCRF center were never consulted on the Taiwan recognition switch, and they have no meaningful way to influence it regardless. That, I think, is how alignment drift actually works: it doesn't require popular support or public awareness, only that the people who control recognition votes and bilateral contracts have been brought into a dependency relationship. Our team was specifically advised, prior to the trip, not to discuss the Ortega government or domestic politics with anyone we met, including Chinese infrastructure. Before the trip, sitting in that stale conference room to review the do's and don'ts, it seemed like a simple precaution, nothing more. In hindsight, the instruction itself is a data point; it marks the line between what can be said out loud at street level and what the government-level alignment structure actually looks like from the inside. Nobody in La Calle Real voted on the transition from Taiwan to China; no one was going to be asked, regardless.</w:t>
      </w:r>
    </w:p>
    <w:p w:rsidR="00000000" w:rsidDel="00000000" w:rsidP="00000000" w:rsidRDefault="00000000" w:rsidRPr="00000000" w14:paraId="000000A4">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The Alignment Consequence</w:t>
      </w:r>
      <w:r w:rsidDel="00000000" w:rsidR="00000000" w:rsidRPr="00000000">
        <w:rPr>
          <w:rtl w:val="0"/>
        </w:rPr>
      </w:r>
    </w:p>
    <w:p w:rsidR="00000000" w:rsidDel="00000000" w:rsidP="00000000" w:rsidRDefault="00000000" w:rsidRPr="00000000" w14:paraId="000000A5">
      <w:pPr>
        <w:spacing w:after="160" w:line="276" w:lineRule="auto"/>
        <w:jc w:val="both"/>
        <w:rPr>
          <w:sz w:val="24"/>
          <w:szCs w:val="24"/>
        </w:rPr>
      </w:pPr>
      <w:r w:rsidDel="00000000" w:rsidR="00000000" w:rsidRPr="00000000">
        <w:rPr>
          <w:sz w:val="24"/>
          <w:szCs w:val="24"/>
          <w:rtl w:val="0"/>
        </w:rPr>
        <w:t xml:space="preserve">There was a time when Latin America was the largest base of formal diplomatic support and recognition for Taiwan anywhere in the world. That base has eroded in tandem with intensified Chinese economic engagement across the Central American region. The sequence of events is clearly documented: infrastructure financing and trade relationships came first, and the diplomatic recognition switches followed: first Panama in 2017, then the Dominican Republic and El Salvador in 2018, and most recently Nicaragua in 2021. Political-science research on the pattern finds</w:t>
      </w:r>
      <w:r w:rsidDel="00000000" w:rsidR="00000000" w:rsidRPr="00000000">
        <w:rPr>
          <w:sz w:val="24"/>
          <w:szCs w:val="24"/>
          <w:vertAlign w:val="superscript"/>
          <w:rtl w:val="0"/>
        </w:rPr>
        <w:t xml:space="preserve">12</w:t>
      </w:r>
      <w:r w:rsidDel="00000000" w:rsidR="00000000" w:rsidRPr="00000000">
        <w:rPr>
          <w:sz w:val="24"/>
          <w:szCs w:val="24"/>
          <w:rtl w:val="0"/>
        </w:rPr>
        <w:t xml:space="preserve"> that Chinese economic engagement measurably intensifies before recognition switches occur, rather than after, a finding echoed</w:t>
      </w:r>
      <w:r w:rsidDel="00000000" w:rsidR="00000000" w:rsidRPr="00000000">
        <w:rPr>
          <w:sz w:val="24"/>
          <w:szCs w:val="24"/>
          <w:vertAlign w:val="superscript"/>
          <w:rtl w:val="0"/>
        </w:rPr>
        <w:t xml:space="preserve">13</w:t>
      </w:r>
      <w:r w:rsidDel="00000000" w:rsidR="00000000" w:rsidRPr="00000000">
        <w:rPr>
          <w:sz w:val="24"/>
          <w:szCs w:val="24"/>
          <w:rtl w:val="0"/>
        </w:rPr>
        <w:t xml:space="preserve"> in a cross-national study of Taiwan's diplomatic recognition history. Nicaragua's case is the most obvious: the internationally isolated Ortega government found that Chinese capital and diplomatic cover were worth more than seven decades of relationship with Taipei. These four nations switched because the alternative, alignment with Taiwan, carried a cost that dependency had made unthinkable. The infrastructure that these nations depend on is owned, operated, and initiated by China, tethering them inextricably to it; straying leads to the loss of the capacity the nation has come to depend on. Come 2021, the mechanism had run its course four times in five years.</w:t>
      </w:r>
    </w:p>
    <w:p w:rsidR="00000000" w:rsidDel="00000000" w:rsidP="00000000" w:rsidRDefault="00000000" w:rsidRPr="00000000" w14:paraId="000000A6">
      <w:pPr>
        <w:spacing w:after="160" w:line="276" w:lineRule="auto"/>
        <w:jc w:val="both"/>
        <w:rPr>
          <w:sz w:val="24"/>
          <w:szCs w:val="24"/>
        </w:rPr>
      </w:pPr>
      <w:r w:rsidDel="00000000" w:rsidR="00000000" w:rsidRPr="00000000">
        <w:rPr>
          <w:sz w:val="24"/>
          <w:szCs w:val="24"/>
          <w:rtl w:val="0"/>
        </w:rPr>
        <w:t xml:space="preserve">Countries that absorbed Chinese infrastructure investment show a pattern at the United Nations as well: abstention or opposition on votes where China has a vested and direct interest, from Taiwan-related resolutions to Xinjiang Human Rights Council votes to sanctions discussions involving Chinese-aligned states. Peer-reviewed research on Chinese foreign aid finds that recipients of commercially oriented Chinese financing measurably</w:t>
      </w:r>
      <w:r w:rsidDel="00000000" w:rsidR="00000000" w:rsidRPr="00000000">
        <w:rPr>
          <w:sz w:val="24"/>
          <w:szCs w:val="24"/>
          <w:vertAlign w:val="superscript"/>
          <w:rtl w:val="0"/>
        </w:rPr>
        <w:t xml:space="preserve">14</w:t>
      </w:r>
      <w:r w:rsidDel="00000000" w:rsidR="00000000" w:rsidRPr="00000000">
        <w:rPr>
          <w:sz w:val="24"/>
          <w:szCs w:val="24"/>
          <w:rtl w:val="0"/>
        </w:rPr>
        <w:t xml:space="preserve"> realign their UN General Assembly voting toward China's positions over time, a finding consistent with the broader lending-and-alignment literature</w:t>
      </w:r>
      <w:r w:rsidDel="00000000" w:rsidR="00000000" w:rsidRPr="00000000">
        <w:rPr>
          <w:sz w:val="24"/>
          <w:szCs w:val="24"/>
          <w:vertAlign w:val="superscript"/>
          <w:rtl w:val="0"/>
        </w:rPr>
        <w:t xml:space="preserve">15</w:t>
      </w:r>
      <w:r w:rsidDel="00000000" w:rsidR="00000000" w:rsidRPr="00000000">
        <w:rPr>
          <w:sz w:val="24"/>
          <w:szCs w:val="24"/>
          <w:rtl w:val="0"/>
        </w:rPr>
        <w:t xml:space="preserve"> compiled by Boston University's Global Development Policy Center, and Latin America fits the broader pattern. None of this requires an explicit conditionality clause in a loan contract, it simply requires that the government of a Latin American nation, or any other, take the infrastructure on offer and accept the relationship that comes with it. Dependence on Chinese financing continually comes not at a financial cost but a diplomatic one: consistent alignment with Chinese interests.</w:t>
      </w:r>
    </w:p>
    <w:p w:rsidR="00000000" w:rsidDel="00000000" w:rsidP="00000000" w:rsidRDefault="00000000" w:rsidRPr="00000000" w14:paraId="000000A7">
      <w:pPr>
        <w:spacing w:after="160" w:line="276" w:lineRule="auto"/>
        <w:jc w:val="both"/>
        <w:rPr>
          <w:sz w:val="24"/>
          <w:szCs w:val="24"/>
        </w:rPr>
      </w:pPr>
      <w:r w:rsidDel="00000000" w:rsidR="00000000" w:rsidRPr="00000000">
        <w:rPr>
          <w:sz w:val="24"/>
          <w:szCs w:val="24"/>
          <w:rtl w:val="0"/>
        </w:rPr>
        <w:t xml:space="preserve">Ecuador is Latin America's clearest case of debt converting into constrained sovereignty. After Western capital markets closed to Ecuador following its 2008 default, the government committed future oil revenues as collateral for Chinese infrastructure loans, an arrangement that energy-policy researchers describe</w:t>
      </w:r>
      <w:r w:rsidDel="00000000" w:rsidR="00000000" w:rsidRPr="00000000">
        <w:rPr>
          <w:sz w:val="24"/>
          <w:szCs w:val="24"/>
          <w:vertAlign w:val="superscript"/>
          <w:rtl w:val="0"/>
        </w:rPr>
        <w:t xml:space="preserve">16</w:t>
      </w:r>
      <w:r w:rsidDel="00000000" w:rsidR="00000000" w:rsidRPr="00000000">
        <w:rPr>
          <w:sz w:val="24"/>
          <w:szCs w:val="24"/>
          <w:rtl w:val="0"/>
        </w:rPr>
        <w:t xml:space="preserve"> as a structural response to a closed financing environment rather than a one-off transaction. The resulting offtake agreements persisted across multiple changes of government; commitments made by one administration binding the next, regardless of who Ecuadorian voters chose. Venezuela's dependency runs deeper and has proven more durable still, because it is mutual rather than one-directional: Venezuela needs capital and diplomatic cover to survive an economic collapse, and China needs oil and a reliable regional partner, a relationship that scholars of Latin American political economy have characterized</w:t>
      </w:r>
      <w:r w:rsidDel="00000000" w:rsidR="00000000" w:rsidRPr="00000000">
        <w:rPr>
          <w:sz w:val="24"/>
          <w:szCs w:val="24"/>
          <w:vertAlign w:val="superscript"/>
          <w:rtl w:val="0"/>
        </w:rPr>
        <w:t xml:space="preserve">17</w:t>
      </w:r>
      <w:r w:rsidDel="00000000" w:rsidR="00000000" w:rsidRPr="00000000">
        <w:rPr>
          <w:sz w:val="24"/>
          <w:szCs w:val="24"/>
          <w:rtl w:val="0"/>
        </w:rPr>
        <w:t xml:space="preserve"> as a rearticulation of the dependency long documented in the region's resource-export economies, so Chinese lending has continued through a crisis that would have ended most other creditor relationships. Neither case has produced the outcome most often invoked as the global reference precedent: Hambantota, where Sri Lanka leased its debt-financed port to a Chinese state-owned operator for 99 years after debt service faltered. The peer-reviewed literature on that case is considerably</w:t>
      </w:r>
      <w:r w:rsidDel="00000000" w:rsidR="00000000" w:rsidRPr="00000000">
        <w:rPr>
          <w:sz w:val="24"/>
          <w:szCs w:val="24"/>
          <w:vertAlign w:val="superscript"/>
          <w:rtl w:val="0"/>
        </w:rPr>
        <w:t xml:space="preserve">18</w:t>
      </w:r>
      <w:r w:rsidDel="00000000" w:rsidR="00000000" w:rsidRPr="00000000">
        <w:rPr>
          <w:sz w:val="24"/>
          <w:szCs w:val="24"/>
          <w:rtl w:val="0"/>
        </w:rPr>
        <w:t xml:space="preserve"> more contested than the popular "debt-trap" framing suggests; researchers who have traced the negotiating history in detail find the lease followed a broader debt crisis rooted mainly in Sri Lanka's borrowing from Western capital markets, not a Chinese plan to seize the port. No Latin American government has handed over sovereign infrastructure on anything resembling Hambantota's terms, contested or not. But the precedent does not need to repeat itself to matter; it sets the risk calculus for every government currently weighing Chinese financing on terms it cannot easily unwind. Dependency is not an inevitable consequence of accepting Chinese capital. It is a structural possibility built into the terms from the start, whether or not it is ever exercised.</w:t>
      </w:r>
    </w:p>
    <w:p w:rsidR="00000000" w:rsidDel="00000000" w:rsidP="00000000" w:rsidRDefault="00000000" w:rsidRPr="00000000" w14:paraId="000000A8">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What Washington Has and Hasn't Done</w:t>
      </w:r>
      <w:r w:rsidDel="00000000" w:rsidR="00000000" w:rsidRPr="00000000">
        <w:rPr>
          <w:rtl w:val="0"/>
        </w:rPr>
      </w:r>
    </w:p>
    <w:p w:rsidR="00000000" w:rsidDel="00000000" w:rsidP="00000000" w:rsidRDefault="00000000" w:rsidRPr="00000000" w14:paraId="000000A9">
      <w:pPr>
        <w:spacing w:after="160" w:line="276" w:lineRule="auto"/>
        <w:jc w:val="both"/>
        <w:rPr>
          <w:sz w:val="24"/>
          <w:szCs w:val="24"/>
        </w:rPr>
      </w:pPr>
      <w:r w:rsidDel="00000000" w:rsidR="00000000" w:rsidRPr="00000000">
        <w:rPr>
          <w:sz w:val="24"/>
          <w:szCs w:val="24"/>
          <w:rtl w:val="0"/>
        </w:rPr>
        <w:t xml:space="preserve">The Partnership for Global Infrastructure and Investment (PGII) committed</w:t>
      </w:r>
      <w:r w:rsidDel="00000000" w:rsidR="00000000" w:rsidRPr="00000000">
        <w:rPr>
          <w:sz w:val="24"/>
          <w:szCs w:val="24"/>
          <w:vertAlign w:val="superscript"/>
          <w:rtl w:val="0"/>
        </w:rPr>
        <w:t xml:space="preserve">19</w:t>
      </w:r>
      <w:r w:rsidDel="00000000" w:rsidR="00000000" w:rsidRPr="00000000">
        <w:rPr>
          <w:sz w:val="24"/>
          <w:szCs w:val="24"/>
          <w:rtl w:val="0"/>
        </w:rPr>
        <w:t xml:space="preserve"> to mobilizing up to $600 billion in global infrastructure investment by 2027, announced at the 2022 G7 summit. This investment pool was explicitly and deliberately framed as a Western alternative to the Belt and Road Initiative created by China. The delivery, however, has been unbalanced; PGII's architecture depends on mobilizing private capital through de-risking mechanisms, rather than direct public investment. A comparative academic assessment of PGII against China's overseas infrastructure model concludes</w:t>
      </w:r>
      <w:r w:rsidDel="00000000" w:rsidR="00000000" w:rsidRPr="00000000">
        <w:rPr>
          <w:sz w:val="24"/>
          <w:szCs w:val="24"/>
          <w:vertAlign w:val="superscript"/>
          <w:rtl w:val="0"/>
        </w:rPr>
        <w:t xml:space="preserve">20</w:t>
      </w:r>
      <w:r w:rsidDel="00000000" w:rsidR="00000000" w:rsidRPr="00000000">
        <w:rPr>
          <w:sz w:val="24"/>
          <w:szCs w:val="24"/>
          <w:rtl w:val="0"/>
        </w:rPr>
        <w:t xml:space="preserve"> that reliance on public-private partnerships, the underperformance of G7 construction firms, and a persistent fund-raising gap make the partnership structurally less likely to match China's pace. It is slow-moving, therefore, in the most volatile regions, which, correspondingly, is where it is needed most, because in such environments Chinese SOEs enter without hesitation, confident in their ability to absorb risk.The DFC has capitalization to compete with Chinese SOE financing; what it lacks is institutional risk tolerance. The projects that matter most for regaining international leverage by displacing Chinese positioning naturally sit in higher-risk political environments, which naturally score poorly against the DFC's conventional risk metrics. Chinese SOEs, operating on strategic rather than commercial return horizons and backed by the state, are not constrained by such risks. They are built to absorb risk that the DFC's mandate is constructed to avoid, leaving the DFC portfolio concentrated at the margins of the strategic competition rather than at its center. This was the case in Afghanistan, at the Mes Aynak copper mine, where a Chinese state-owned consortium secured</w:t>
      </w:r>
      <w:r w:rsidDel="00000000" w:rsidR="00000000" w:rsidRPr="00000000">
        <w:rPr>
          <w:sz w:val="24"/>
          <w:szCs w:val="24"/>
          <w:vertAlign w:val="superscript"/>
          <w:rtl w:val="0"/>
        </w:rPr>
        <w:t xml:space="preserve">21</w:t>
      </w:r>
      <w:r w:rsidDel="00000000" w:rsidR="00000000" w:rsidRPr="00000000">
        <w:rPr>
          <w:sz w:val="24"/>
          <w:szCs w:val="24"/>
          <w:rtl w:val="0"/>
        </w:rPr>
        <w:t xml:space="preserve"> a $3 billion, 30-year lease in 2007 while no comparable Western financing entered the field. A similar pattern has played out in the Democratic Republic of the Congo's cobalt and copper sector, where research on the DRC's resource-for-infrastructure agreements documents</w:t>
      </w:r>
      <w:r w:rsidDel="00000000" w:rsidR="00000000" w:rsidRPr="00000000">
        <w:rPr>
          <w:sz w:val="24"/>
          <w:szCs w:val="24"/>
          <w:vertAlign w:val="superscript"/>
          <w:rtl w:val="0"/>
        </w:rPr>
        <w:t xml:space="preserve">22</w:t>
      </w:r>
      <w:r w:rsidDel="00000000" w:rsidR="00000000" w:rsidRPr="00000000">
        <w:rPr>
          <w:rtl w:val="0"/>
        </w:rPr>
      </w:r>
    </w:p>
    <w:p w:rsidR="00000000" w:rsidDel="00000000" w:rsidP="00000000" w:rsidRDefault="00000000" w:rsidRPr="00000000" w14:paraId="000000AA">
      <w:pPr>
        <w:spacing w:after="160" w:line="276" w:lineRule="auto"/>
        <w:jc w:val="both"/>
        <w:rPr>
          <w:sz w:val="24"/>
          <w:szCs w:val="24"/>
        </w:rPr>
      </w:pPr>
      <w:r w:rsidDel="00000000" w:rsidR="00000000" w:rsidRPr="00000000">
        <w:rPr>
          <w:sz w:val="24"/>
          <w:szCs w:val="24"/>
          <w:rtl w:val="0"/>
        </w:rPr>
        <w:t xml:space="preserve"> Chinese state-linked financing as a persistent presence alongside a smaller set of profit-driven private investments and joint ventures with Western firms. In 2022, the Americas Partnership for Economic Prosperity announced</w:t>
      </w:r>
      <w:r w:rsidDel="00000000" w:rsidR="00000000" w:rsidRPr="00000000">
        <w:rPr>
          <w:sz w:val="24"/>
          <w:szCs w:val="24"/>
          <w:vertAlign w:val="superscript"/>
          <w:rtl w:val="0"/>
        </w:rPr>
        <w:t xml:space="preserve">23</w:t>
      </w:r>
      <w:r w:rsidDel="00000000" w:rsidR="00000000" w:rsidRPr="00000000">
        <w:rPr>
          <w:sz w:val="24"/>
          <w:szCs w:val="24"/>
          <w:rtl w:val="0"/>
        </w:rPr>
        <w:t xml:space="preserve"> a regional economic framework without attaching concrete financial commitments to it. It has, as a result, gained little operational traction since. This is a lesson to learn from, not an outcome to expect to later materialize: announcements without a delivery mechanism are just words. It is the delivery mechanism that must be built to compete with an SOE that opens with a signed contract and a construction crew. It is an opportunity to take a page from the Chinese geostrategy playbook and turn words into actions.</w:t>
      </w:r>
    </w:p>
    <w:p w:rsidR="00000000" w:rsidDel="00000000" w:rsidP="00000000" w:rsidRDefault="00000000" w:rsidRPr="00000000" w14:paraId="000000AB">
      <w:pPr>
        <w:spacing w:after="160" w:line="276" w:lineRule="auto"/>
        <w:jc w:val="both"/>
        <w:rPr>
          <w:sz w:val="24"/>
          <w:szCs w:val="24"/>
        </w:rPr>
      </w:pPr>
      <w:r w:rsidDel="00000000" w:rsidR="00000000" w:rsidRPr="00000000">
        <w:rPr>
          <w:sz w:val="24"/>
          <w:szCs w:val="24"/>
          <w:rtl w:val="0"/>
        </w:rPr>
        <w:t xml:space="preserve">From the humid air of Liam Albert's perspective in Nicaragua, to the dry heat of Sub-Saharan Africa, geopolitics and leverage find themselves entangled in a grapple for chokepoints wrapping the world. The Lobito Corridor is a rail rehabilitation linking</w:t>
      </w:r>
      <w:r w:rsidDel="00000000" w:rsidR="00000000" w:rsidRPr="00000000">
        <w:rPr>
          <w:sz w:val="24"/>
          <w:szCs w:val="24"/>
          <w:vertAlign w:val="superscript"/>
          <w:rtl w:val="0"/>
        </w:rPr>
        <w:t xml:space="preserve">24</w:t>
      </w:r>
      <w:r w:rsidDel="00000000" w:rsidR="00000000" w:rsidRPr="00000000">
        <w:rPr>
          <w:sz w:val="24"/>
          <w:szCs w:val="24"/>
          <w:rtl w:val="0"/>
        </w:rPr>
        <w:t xml:space="preserve"> Angola, Zambia, and the Democratic Republic of the Congo. It is an evident example of Western infrastructure investment used as a strategically coherent, concretely executed, and visible form of economic engagement. The US, EU, and African Development Bank have committed</w:t>
      </w:r>
      <w:r w:rsidDel="00000000" w:rsidR="00000000" w:rsidRPr="00000000">
        <w:rPr>
          <w:sz w:val="24"/>
          <w:szCs w:val="24"/>
          <w:vertAlign w:val="superscript"/>
          <w:rtl w:val="0"/>
        </w:rPr>
        <w:t xml:space="preserve">25</w:t>
      </w:r>
      <w:r w:rsidDel="00000000" w:rsidR="00000000" w:rsidRPr="00000000">
        <w:rPr>
          <w:sz w:val="24"/>
          <w:szCs w:val="24"/>
          <w:rtl w:val="0"/>
        </w:rPr>
        <w:t xml:space="preserve"> real capital to a project with strategic rationale, running critical minerals through a corridor that matters to all three parties involved. It exists, it functions efficiently, and more than anything it proves that Western governments and institutions can still deliver physical infrastructure when they choose to; it is also the exception that proves the rule; one corridor does not constitute a scaled strategy. The EPICS project in La Calle Real shows what ground-level engagement looks like when it works. Lobito shows what strategic-level engagement looks like when it works. It is therefore not a matter of money but of deliberate scaling. It is a gap of practical execution and political will. Therefore, it is a gap that can be filled.</w:t>
      </w:r>
    </w:p>
    <w:p w:rsidR="00000000" w:rsidDel="00000000" w:rsidP="00000000" w:rsidRDefault="00000000" w:rsidRPr="00000000" w14:paraId="000000AC">
      <w:pPr>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rtl w:val="0"/>
        </w:rPr>
        <w:t xml:space="preserve">China in Pakistan: How Instability and Resources Ousted the West</w:t>
      </w:r>
      <w:r w:rsidDel="00000000" w:rsidR="00000000" w:rsidRPr="00000000">
        <w:rPr>
          <w:rtl w:val="0"/>
        </w:rPr>
      </w:r>
    </w:p>
    <w:p w:rsidR="00000000" w:rsidDel="00000000" w:rsidP="00000000" w:rsidRDefault="00000000" w:rsidRPr="00000000" w14:paraId="000000AE">
      <w:pPr>
        <w:spacing w:after="120" w:lineRule="auto"/>
        <w:rPr>
          <w:sz w:val="24"/>
          <w:szCs w:val="24"/>
        </w:rPr>
      </w:pPr>
      <w:r w:rsidDel="00000000" w:rsidR="00000000" w:rsidRPr="00000000">
        <w:rPr>
          <w:i w:val="1"/>
          <w:iCs w:val="1"/>
          <w:color w:val="000000"/>
          <w:sz w:val="24"/>
          <w:szCs w:val="24"/>
          <w:rtl w:val="0"/>
        </w:rPr>
        <w:t xml:space="preserve">Zayrab Nutkani, Jack Lindstrom</w:t>
      </w:r>
      <w:r w:rsidDel="00000000" w:rsidR="00000000" w:rsidRPr="00000000">
        <w:rPr>
          <w:rtl w:val="0"/>
        </w:rPr>
      </w:r>
    </w:p>
    <w:p w:rsidR="00000000" w:rsidDel="00000000" w:rsidP="00000000" w:rsidRDefault="00000000" w:rsidRPr="00000000" w14:paraId="000000AF">
      <w:pPr>
        <w:spacing w:after="160" w:line="276" w:lineRule="auto"/>
        <w:jc w:val="both"/>
        <w:rPr>
          <w:sz w:val="24"/>
          <w:szCs w:val="24"/>
        </w:rPr>
      </w:pPr>
      <w:r w:rsidDel="00000000" w:rsidR="00000000" w:rsidRPr="00000000">
        <w:rPr>
          <w:sz w:val="24"/>
          <w:szCs w:val="24"/>
          <w:rtl w:val="0"/>
        </w:rPr>
        <w:t xml:space="preserve">Leverage in geopolitics equates to power, both in retaining it and in gaining more. Great powers grapple with each other for chokepoints, hoping to box in a rival or expose a rival's dependence. Structural advantages provide the keys to power. China and the United States illustrate this constantly: American tariffs and foreign direct product rules apply pressure; Chinese restrictions on rare earth metals and minerals</w:t>
      </w:r>
      <w:r w:rsidDel="00000000" w:rsidR="00000000" w:rsidRPr="00000000">
        <w:rPr>
          <w:sz w:val="24"/>
          <w:szCs w:val="24"/>
          <w:vertAlign w:val="superscript"/>
          <w:rtl w:val="0"/>
        </w:rPr>
        <w:t xml:space="preserve">1</w:t>
      </w:r>
      <w:r w:rsidDel="00000000" w:rsidR="00000000" w:rsidRPr="00000000">
        <w:rPr>
          <w:sz w:val="24"/>
          <w:szCs w:val="24"/>
          <w:rtl w:val="0"/>
        </w:rPr>
        <w:t xml:space="preserve"> push back. Microchips are the famous example. But the world is full of other openings for leverage, and Balochistan, Pakistan's largest and poorest province, is one of them. Chinese state-backed capital</w:t>
      </w:r>
      <w:r w:rsidDel="00000000" w:rsidR="00000000" w:rsidRPr="00000000">
        <w:rPr>
          <w:sz w:val="24"/>
          <w:szCs w:val="24"/>
          <w:vertAlign w:val="superscript"/>
          <w:rtl w:val="0"/>
        </w:rPr>
        <w:t xml:space="preserve">2</w:t>
      </w:r>
      <w:r w:rsidDel="00000000" w:rsidR="00000000" w:rsidRPr="00000000">
        <w:rPr>
          <w:sz w:val="24"/>
          <w:szCs w:val="24"/>
          <w:rtl w:val="0"/>
        </w:rPr>
        <w:t xml:space="preserve"> now dominates Western private investment there, particularly in mineral extraction.Minerals have mattered to human civilization for centuries, but in the 21st century they have become central to development. The global push toward solar panels, lithium-ion batteries, and electric vehicles has intensified demand for copper, gold, lithium, and chromite</w:t>
      </w:r>
      <w:r w:rsidDel="00000000" w:rsidR="00000000" w:rsidRPr="00000000">
        <w:rPr>
          <w:sz w:val="24"/>
          <w:szCs w:val="24"/>
          <w:vertAlign w:val="superscript"/>
          <w:rtl w:val="0"/>
        </w:rPr>
        <w:t xml:space="preserve">3</w:t>
      </w:r>
      <w:r w:rsidDel="00000000" w:rsidR="00000000" w:rsidRPr="00000000">
        <w:rPr>
          <w:sz w:val="24"/>
          <w:szCs w:val="24"/>
          <w:rtl w:val="0"/>
        </w:rPr>
        <w:t xml:space="preserve">, and Balochistan holds vast reserves of all four, drawing billions of dollars in investment. At the same time, the province is entering the most violent phase of its recorded history. The convergence of mineral wealth and rising violence is creating a chokepoint: minerals the United States depends on are increasingly resting in the hands of a Chinese near-monopoly.</w:t>
      </w:r>
    </w:p>
    <w:p w:rsidR="00000000" w:rsidDel="00000000" w:rsidP="00000000" w:rsidRDefault="00000000" w:rsidRPr="00000000" w14:paraId="000000B0">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CPEC and the Mineral Build-Out</w:t>
      </w:r>
      <w:r w:rsidDel="00000000" w:rsidR="00000000" w:rsidRPr="00000000">
        <w:rPr>
          <w:rtl w:val="0"/>
        </w:rPr>
      </w:r>
    </w:p>
    <w:p w:rsidR="00000000" w:rsidDel="00000000" w:rsidP="00000000" w:rsidRDefault="00000000" w:rsidRPr="00000000" w14:paraId="000000B1">
      <w:pPr>
        <w:spacing w:after="160" w:line="276" w:lineRule="auto"/>
        <w:jc w:val="both"/>
        <w:rPr>
          <w:sz w:val="24"/>
          <w:szCs w:val="24"/>
        </w:rPr>
      </w:pPr>
      <w:r w:rsidDel="00000000" w:rsidR="00000000" w:rsidRPr="00000000">
        <w:rPr>
          <w:sz w:val="24"/>
          <w:szCs w:val="24"/>
          <w:rtl w:val="0"/>
        </w:rPr>
        <w:t xml:space="preserve">The China-Pakistan Economic Corridor</w:t>
      </w:r>
      <w:r w:rsidDel="00000000" w:rsidR="00000000" w:rsidRPr="00000000">
        <w:rPr>
          <w:sz w:val="24"/>
          <w:szCs w:val="24"/>
          <w:vertAlign w:val="superscript"/>
          <w:rtl w:val="0"/>
        </w:rPr>
        <w:t xml:space="preserve">4</w:t>
      </w:r>
      <w:r w:rsidDel="00000000" w:rsidR="00000000" w:rsidRPr="00000000">
        <w:rPr>
          <w:sz w:val="24"/>
          <w:szCs w:val="24"/>
          <w:rtl w:val="0"/>
        </w:rPr>
        <w:t xml:space="preserve">, initially valued at $46 billion, rose to $65 billion by 2022. It links Gwadar Port to China's Xinjiang region through railways, pipelines, roads, and energy projects. At a Pakistan Mineral Cooperation Forum session in January 2026, Pakistan's federal planning minister said mineral exports could reach $6 billion to $8 billion this decade under what officials are calling CPEC 2.0. Islamabad reinforced that pitch at the Pakistan Minerals Investment Forum</w:t>
      </w:r>
      <w:r w:rsidDel="00000000" w:rsidR="00000000" w:rsidRPr="00000000">
        <w:rPr>
          <w:sz w:val="24"/>
          <w:szCs w:val="24"/>
          <w:vertAlign w:val="superscript"/>
          <w:rtl w:val="0"/>
        </w:rPr>
        <w:t xml:space="preserve">5</w:t>
      </w:r>
      <w:r w:rsidDel="00000000" w:rsidR="00000000" w:rsidRPr="00000000">
        <w:rPr>
          <w:sz w:val="24"/>
          <w:szCs w:val="24"/>
          <w:rtl w:val="0"/>
        </w:rPr>
        <w:t xml:space="preserve"> in Islamabad in April 2026, inviting both Washington and Beijing to bid on the same reserves. Several extraction projects are already running or in advanced development. The Chinese state-owned China Metallurgical Group's Saindak copper-gold mine</w:t>
      </w:r>
      <w:r w:rsidDel="00000000" w:rsidR="00000000" w:rsidRPr="00000000">
        <w:rPr>
          <w:sz w:val="24"/>
          <w:szCs w:val="24"/>
          <w:vertAlign w:val="superscript"/>
          <w:rtl w:val="0"/>
        </w:rPr>
        <w:t xml:space="preserve">6</w:t>
      </w:r>
      <w:r w:rsidDel="00000000" w:rsidR="00000000" w:rsidRPr="00000000">
        <w:rPr>
          <w:sz w:val="24"/>
          <w:szCs w:val="24"/>
          <w:rtl w:val="0"/>
        </w:rPr>
        <w:t xml:space="preserve"> is targeting 400,000 tonnes of output by 2026. Barrick Gold's Reko Diq project</w:t>
      </w:r>
      <w:r w:rsidDel="00000000" w:rsidR="00000000" w:rsidRPr="00000000">
        <w:rPr>
          <w:sz w:val="24"/>
          <w:szCs w:val="24"/>
          <w:vertAlign w:val="superscript"/>
          <w:rtl w:val="0"/>
        </w:rPr>
        <w:t xml:space="preserve">7</w:t>
      </w:r>
      <w:r w:rsidDel="00000000" w:rsidR="00000000" w:rsidRPr="00000000">
        <w:rPr>
          <w:sz w:val="24"/>
          <w:szCs w:val="24"/>
          <w:rtl w:val="0"/>
        </w:rPr>
        <w:t xml:space="preserve">, a joint venture with Pakistani state enterprises and the Balochistan government, is projected to add $5 billion to Pakistan's GDP. The Duddar lead-zinc mine in Lasbella district is already operational under a Chinese state-linked operator, and in November 2025 a joint venture between a local firm and Guangdong Handar signed a new extraction agreement under CPEC.</w:t>
      </w:r>
    </w:p>
    <w:p w:rsidR="00000000" w:rsidDel="00000000" w:rsidP="00000000" w:rsidRDefault="00000000" w:rsidRPr="00000000" w14:paraId="000000B2">
      <w:pPr>
        <w:spacing w:after="160" w:line="276" w:lineRule="auto"/>
        <w:jc w:val="both"/>
        <w:rPr>
          <w:sz w:val="24"/>
          <w:szCs w:val="24"/>
        </w:rPr>
      </w:pPr>
      <w:r w:rsidDel="00000000" w:rsidR="00000000" w:rsidRPr="00000000">
        <w:rPr>
          <w:sz w:val="24"/>
          <w:szCs w:val="24"/>
          <w:rtl w:val="0"/>
        </w:rPr>
        <w:t xml:space="preserve">These Chinese investors are not independent corporations; they are state-backed</w:t>
      </w:r>
      <w:r w:rsidDel="00000000" w:rsidR="00000000" w:rsidRPr="00000000">
        <w:rPr>
          <w:sz w:val="24"/>
          <w:szCs w:val="24"/>
          <w:vertAlign w:val="superscript"/>
          <w:rtl w:val="0"/>
        </w:rPr>
        <w:t xml:space="preserve">8</w:t>
      </w:r>
      <w:r w:rsidDel="00000000" w:rsidR="00000000" w:rsidRPr="00000000">
        <w:rPr>
          <w:sz w:val="24"/>
          <w:szCs w:val="24"/>
          <w:rtl w:val="0"/>
        </w:rPr>
        <w:t xml:space="preserve">, which lets them absorb political risk as a strategic calculation rather than a balance-sheet concern. Barrick Gold, by contrast, is publicly traded and accountable to shareholders</w:t>
      </w:r>
      <w:r w:rsidDel="00000000" w:rsidR="00000000" w:rsidRPr="00000000">
        <w:rPr>
          <w:sz w:val="24"/>
          <w:szCs w:val="24"/>
          <w:vertAlign w:val="superscript"/>
          <w:rtl w:val="0"/>
        </w:rPr>
        <w:t xml:space="preserve">9</w:t>
      </w:r>
      <w:r w:rsidDel="00000000" w:rsidR="00000000" w:rsidRPr="00000000">
        <w:rPr>
          <w:sz w:val="24"/>
          <w:szCs w:val="24"/>
          <w:rtl w:val="0"/>
        </w:rPr>
        <w:t xml:space="preserve">. As security in Balochistan deteriorates, Chinese state-sponsored firms can keep operating at Beijing's direction, while Barrick and other Western companies are forced to weigh pulling out. That asymmetry is itself a form of Chinese advantage: the more Western firms retreat, the larger the vacuum Chinese firms can fill, and the higher the insurgent risk climbs, the more that imbalance compounds.</w:t>
      </w:r>
    </w:p>
    <w:p w:rsidR="00000000" w:rsidDel="00000000" w:rsidP="00000000" w:rsidRDefault="00000000" w:rsidRPr="00000000" w14:paraId="000000B3">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Wealth Without Development</w:t>
      </w:r>
      <w:r w:rsidDel="00000000" w:rsidR="00000000" w:rsidRPr="00000000">
        <w:rPr>
          <w:rtl w:val="0"/>
        </w:rPr>
      </w:r>
    </w:p>
    <w:p w:rsidR="00000000" w:rsidDel="00000000" w:rsidP="00000000" w:rsidRDefault="00000000" w:rsidRPr="00000000" w14:paraId="000000B4">
      <w:pPr>
        <w:spacing w:after="160" w:line="276" w:lineRule="auto"/>
        <w:jc w:val="both"/>
        <w:rPr>
          <w:sz w:val="24"/>
          <w:szCs w:val="24"/>
        </w:rPr>
      </w:pPr>
      <w:r w:rsidDel="00000000" w:rsidR="00000000" w:rsidRPr="00000000">
        <w:rPr>
          <w:sz w:val="24"/>
          <w:szCs w:val="24"/>
          <w:rtl w:val="0"/>
        </w:rPr>
        <w:t xml:space="preserve">Despite mineral wealth worth trillions of dollars, Balochistan remains underdeveloped, poor, and distrustful of the state</w:t>
      </w:r>
      <w:r w:rsidDel="00000000" w:rsidR="00000000" w:rsidRPr="00000000">
        <w:rPr>
          <w:sz w:val="24"/>
          <w:szCs w:val="24"/>
          <w:vertAlign w:val="superscript"/>
          <w:rtl w:val="0"/>
        </w:rPr>
        <w:t xml:space="preserve">10</w:t>
      </w:r>
      <w:r w:rsidDel="00000000" w:rsidR="00000000" w:rsidRPr="00000000">
        <w:rPr>
          <w:sz w:val="24"/>
          <w:szCs w:val="24"/>
          <w:rtl w:val="0"/>
        </w:rPr>
        <w:t xml:space="preserve">. Of 90 projects under CPEC, the government says 38 worth $25.4 billion have been completed since 2015, with 23 more worth $2.1 billion underway. Most of that money has gone to Sindh and Punjab. Balochistan, designated as the corridor's geographic center, has received only $890 million, spent almost entirely on the port city of Gwadar. That gap is structural, not incidental</w:t>
      </w:r>
      <w:r w:rsidDel="00000000" w:rsidR="00000000" w:rsidRPr="00000000">
        <w:rPr>
          <w:sz w:val="24"/>
          <w:szCs w:val="24"/>
          <w:vertAlign w:val="superscript"/>
          <w:rtl w:val="0"/>
        </w:rPr>
        <w:t xml:space="preserve">11</w:t>
      </w:r>
      <w:r w:rsidDel="00000000" w:rsidR="00000000" w:rsidRPr="00000000">
        <w:rPr>
          <w:sz w:val="24"/>
          <w:szCs w:val="24"/>
          <w:rtl w:val="0"/>
        </w:rPr>
        <w:t xml:space="preserve">: CPEC's political economy favors federal priorities in Islamabad over provincial ones, leaving Balochistan with little legislative leverage of its own. The 2025 Balochistan Mines and Minerals Act deepened that imbalance, centralizing mineral licensing under a federally controlled investment authority</w:t>
      </w:r>
      <w:r w:rsidDel="00000000" w:rsidR="00000000" w:rsidRPr="00000000">
        <w:rPr>
          <w:sz w:val="24"/>
          <w:szCs w:val="24"/>
          <w:vertAlign w:val="superscript"/>
          <w:rtl w:val="0"/>
        </w:rPr>
        <w:t xml:space="preserve">12</w:t>
      </w:r>
      <w:r w:rsidDel="00000000" w:rsidR="00000000" w:rsidRPr="00000000">
        <w:rPr>
          <w:sz w:val="24"/>
          <w:szCs w:val="24"/>
          <w:rtl w:val="0"/>
        </w:rPr>
        <w:t xml:space="preserve"> that can override provincial mining departments, a move Balochistan's high court has since suspended pending a constitutional challenge.</w:t>
      </w:r>
    </w:p>
    <w:p w:rsidR="00000000" w:rsidDel="00000000" w:rsidP="00000000" w:rsidRDefault="00000000" w:rsidRPr="00000000" w14:paraId="000000B5">
      <w:pPr>
        <w:spacing w:after="160" w:line="276" w:lineRule="auto"/>
        <w:jc w:val="both"/>
        <w:rPr>
          <w:sz w:val="24"/>
          <w:szCs w:val="24"/>
        </w:rPr>
      </w:pPr>
      <w:r w:rsidDel="00000000" w:rsidR="00000000" w:rsidRPr="00000000">
        <w:rPr>
          <w:sz w:val="24"/>
          <w:szCs w:val="24"/>
          <w:rtl w:val="0"/>
        </w:rPr>
        <w:t xml:space="preserve">The pattern is familiar elsewhere. In the Democratic Republic of Congo</w:t>
      </w:r>
      <w:r w:rsidDel="00000000" w:rsidR="00000000" w:rsidRPr="00000000">
        <w:rPr>
          <w:sz w:val="24"/>
          <w:szCs w:val="24"/>
          <w:vertAlign w:val="superscript"/>
          <w:rtl w:val="0"/>
        </w:rPr>
        <w:t xml:space="preserve">13</w:t>
      </w:r>
      <w:r w:rsidDel="00000000" w:rsidR="00000000" w:rsidRPr="00000000">
        <w:rPr>
          <w:sz w:val="24"/>
          <w:szCs w:val="24"/>
          <w:rtl w:val="0"/>
        </w:rPr>
        <w:t xml:space="preserve">, which produces nearly 68 percent of the world's cobalt, mineral revenue has flowed largely to foreign processors and a narrow elite rather than the communities sitting on the deposits, and the country remains among the poorest in the world by income per capita. Balochistan is following the same script: a resource boom that bypasses the people living on top of the resource tends to convert into grievance, and grievance into recruitment. The $890 million spent in Gwadar functions less as an accounting line than as material proof, to many Baloch, that Islamabad's extraction model has nothing to offer them. That is the channel through which regional poverty has fed the Balochistan Liberation Army's recruiting pipeline</w:t>
      </w:r>
      <w:r w:rsidDel="00000000" w:rsidR="00000000" w:rsidRPr="00000000">
        <w:rPr>
          <w:sz w:val="24"/>
          <w:szCs w:val="24"/>
          <w:vertAlign w:val="superscript"/>
          <w:rtl w:val="0"/>
        </w:rPr>
        <w:t xml:space="preserve">14</w:t>
      </w:r>
      <w:r w:rsidDel="00000000" w:rsidR="00000000" w:rsidRPr="00000000">
        <w:rPr>
          <w:sz w:val="24"/>
          <w:szCs w:val="24"/>
          <w:rtl w:val="0"/>
        </w:rPr>
        <w:t xml:space="preserve">, and why the insurgency tracks the wealth gap as closely as it tracks ideology.</w:t>
      </w:r>
    </w:p>
    <w:p w:rsidR="00000000" w:rsidDel="00000000" w:rsidP="00000000" w:rsidRDefault="00000000" w:rsidRPr="00000000" w14:paraId="000000B6">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Insurgency as Strategic Disruption</w:t>
      </w:r>
      <w:r w:rsidDel="00000000" w:rsidR="00000000" w:rsidRPr="00000000">
        <w:rPr>
          <w:rtl w:val="0"/>
        </w:rPr>
      </w:r>
    </w:p>
    <w:p w:rsidR="00000000" w:rsidDel="00000000" w:rsidP="00000000" w:rsidRDefault="00000000" w:rsidRPr="00000000" w14:paraId="000000B7">
      <w:pPr>
        <w:spacing w:after="160" w:line="276" w:lineRule="auto"/>
        <w:jc w:val="both"/>
        <w:rPr>
          <w:sz w:val="24"/>
          <w:szCs w:val="24"/>
        </w:rPr>
      </w:pPr>
      <w:r w:rsidDel="00000000" w:rsidR="00000000" w:rsidRPr="00000000">
        <w:rPr>
          <w:sz w:val="24"/>
          <w:szCs w:val="24"/>
          <w:rtl w:val="0"/>
        </w:rPr>
        <w:t xml:space="preserve">Armed groups, chiefly the Balochistan Liberation Army (BLA), the Balochistan Liberation Front, and the Baloch Republican Army, have grown more organized, recruiting educated youth and women</w:t>
      </w:r>
      <w:r w:rsidDel="00000000" w:rsidR="00000000" w:rsidRPr="00000000">
        <w:rPr>
          <w:sz w:val="24"/>
          <w:szCs w:val="24"/>
          <w:vertAlign w:val="superscript"/>
          <w:rtl w:val="0"/>
        </w:rPr>
        <w:t xml:space="preserve">15</w:t>
      </w:r>
      <w:r w:rsidDel="00000000" w:rsidR="00000000" w:rsidRPr="00000000">
        <w:rPr>
          <w:sz w:val="24"/>
          <w:szCs w:val="24"/>
          <w:rtl w:val="0"/>
        </w:rPr>
        <w:t xml:space="preserve"> and adopting suicide bombing tactics. Targeting has shifted toward infrastructure, Chinese nationals, and CPEC projects specifically. The Pakistan Institute for Peace Studies</w:t>
      </w:r>
      <w:r w:rsidDel="00000000" w:rsidR="00000000" w:rsidRPr="00000000">
        <w:rPr>
          <w:sz w:val="24"/>
          <w:szCs w:val="24"/>
          <w:vertAlign w:val="superscript"/>
          <w:rtl w:val="0"/>
        </w:rPr>
        <w:t xml:space="preserve">16</w:t>
      </w:r>
      <w:r w:rsidDel="00000000" w:rsidR="00000000" w:rsidRPr="00000000">
        <w:rPr>
          <w:sz w:val="24"/>
          <w:szCs w:val="24"/>
          <w:rtl w:val="0"/>
        </w:rPr>
        <w:t xml:space="preserve"> recorded 254 attacks in Balochistan in 2025, up 26 percent from 2024. ACLED</w:t>
      </w:r>
      <w:r w:rsidDel="00000000" w:rsidR="00000000" w:rsidRPr="00000000">
        <w:rPr>
          <w:sz w:val="24"/>
          <w:szCs w:val="24"/>
          <w:vertAlign w:val="superscript"/>
          <w:rtl w:val="0"/>
        </w:rPr>
        <w:t xml:space="preserve">17</w:t>
      </w:r>
      <w:r w:rsidDel="00000000" w:rsidR="00000000" w:rsidRPr="00000000">
        <w:rPr>
          <w:sz w:val="24"/>
          <w:szCs w:val="24"/>
          <w:rtl w:val="0"/>
        </w:rPr>
        <w:t xml:space="preserve"> reported a 65 percent rise in attacks using explosives and grenades over the same period. The Global Terrorism Index 2026</w:t>
      </w:r>
      <w:r w:rsidDel="00000000" w:rsidR="00000000" w:rsidRPr="00000000">
        <w:rPr>
          <w:sz w:val="24"/>
          <w:szCs w:val="24"/>
          <w:vertAlign w:val="superscript"/>
          <w:rtl w:val="0"/>
        </w:rPr>
        <w:t xml:space="preserve">18</w:t>
      </w:r>
      <w:r w:rsidDel="00000000" w:rsidR="00000000" w:rsidRPr="00000000">
        <w:rPr>
          <w:sz w:val="24"/>
          <w:szCs w:val="24"/>
          <w:rtl w:val="0"/>
        </w:rPr>
        <w:t xml:space="preserve"> recorded 1,045 terrorist incidents and 1,139 fatalities nationwide in Pakistan, with 75 percent of those incidents occurring in Balochistan and Khyber Pakhtunkhwa combined.</w:t>
      </w:r>
    </w:p>
    <w:p w:rsidR="00000000" w:rsidDel="00000000" w:rsidP="00000000" w:rsidRDefault="00000000" w:rsidRPr="00000000" w14:paraId="000000B8">
      <w:pPr>
        <w:spacing w:after="160" w:line="276" w:lineRule="auto"/>
        <w:jc w:val="both"/>
        <w:rPr>
          <w:sz w:val="24"/>
          <w:szCs w:val="24"/>
        </w:rPr>
      </w:pPr>
      <w:r w:rsidDel="00000000" w:rsidR="00000000" w:rsidRPr="00000000">
        <w:rPr>
          <w:sz w:val="24"/>
          <w:szCs w:val="24"/>
          <w:rtl w:val="0"/>
        </w:rPr>
        <w:t xml:space="preserve">The shift from scattered rebellion to coordinated operations</w:t>
      </w:r>
      <w:r w:rsidDel="00000000" w:rsidR="00000000" w:rsidRPr="00000000">
        <w:rPr>
          <w:sz w:val="24"/>
          <w:szCs w:val="24"/>
          <w:vertAlign w:val="superscript"/>
          <w:rtl w:val="0"/>
        </w:rPr>
        <w:t xml:space="preserve">19</w:t>
      </w:r>
      <w:r w:rsidDel="00000000" w:rsidR="00000000" w:rsidRPr="00000000">
        <w:rPr>
          <w:sz w:val="24"/>
          <w:szCs w:val="24"/>
          <w:rtl w:val="0"/>
        </w:rPr>
        <w:t xml:space="preserve"> marks an organizational maturing. Small, ideologically driven cells use terror to manufacture power they otherwise lack; calculated, sustained strikes signal something closer to strategy. The BLA's current campaign follows the corridor itself, the roads and rail lines that move Balochistan's minerals out of the province.</w:t>
      </w:r>
    </w:p>
    <w:p w:rsidR="00000000" w:rsidDel="00000000" w:rsidP="00000000" w:rsidRDefault="00000000" w:rsidRPr="00000000" w14:paraId="000000B9">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The Corridor as Target</w:t>
      </w:r>
      <w:r w:rsidDel="00000000" w:rsidR="00000000" w:rsidRPr="00000000">
        <w:rPr>
          <w:rtl w:val="0"/>
        </w:rPr>
      </w:r>
    </w:p>
    <w:p w:rsidR="00000000" w:rsidDel="00000000" w:rsidP="00000000" w:rsidRDefault="00000000" w:rsidRPr="00000000" w14:paraId="000000BA">
      <w:pPr>
        <w:spacing w:after="160" w:line="276" w:lineRule="auto"/>
        <w:jc w:val="both"/>
        <w:rPr>
          <w:sz w:val="24"/>
          <w:szCs w:val="24"/>
        </w:rPr>
      </w:pPr>
      <w:r w:rsidDel="00000000" w:rsidR="00000000" w:rsidRPr="00000000">
        <w:rPr>
          <w:sz w:val="24"/>
          <w:szCs w:val="24"/>
          <w:rtl w:val="0"/>
        </w:rPr>
        <w:t xml:space="preserve">The N-70 Quetta–D.G. Khan Highway, the N-25 Quetta–Karachi Highway, the M-8 Gwadar–Ratodero Motorway, and the N-40 Quetta–Taftan Road have become primary targets because they carry CPEC and mineral traffic. Rail lines alone have been struck 21 times, including the March 2025 Jaffar Express attack</w:t>
      </w:r>
      <w:r w:rsidDel="00000000" w:rsidR="00000000" w:rsidRPr="00000000">
        <w:rPr>
          <w:sz w:val="24"/>
          <w:szCs w:val="24"/>
          <w:vertAlign w:val="superscript"/>
          <w:rtl w:val="0"/>
        </w:rPr>
        <w:t xml:space="preserve">20</w:t>
      </w:r>
      <w:r w:rsidDel="00000000" w:rsidR="00000000" w:rsidRPr="00000000">
        <w:rPr>
          <w:sz w:val="24"/>
          <w:szCs w:val="24"/>
          <w:rtl w:val="0"/>
        </w:rPr>
        <w:t xml:space="preserve">, the largest train hostage-taking in Pakistan's history, which killed 64 people and took 354 hostages. On May 24, 2026, one day before Prime Minister Shehbaz Sharif met Chinese President Xi Jinping, the BLA carried out a suicide attack on rail infrastructure near Quetta</w:t>
      </w:r>
      <w:r w:rsidDel="00000000" w:rsidR="00000000" w:rsidRPr="00000000">
        <w:rPr>
          <w:sz w:val="24"/>
          <w:szCs w:val="24"/>
          <w:vertAlign w:val="superscript"/>
          <w:rtl w:val="0"/>
        </w:rPr>
        <w:t xml:space="preserve">21</w:t>
      </w:r>
      <w:r w:rsidDel="00000000" w:rsidR="00000000" w:rsidRPr="00000000">
        <w:rPr>
          <w:sz w:val="24"/>
          <w:szCs w:val="24"/>
          <w:rtl w:val="0"/>
        </w:rPr>
        <w:t xml:space="preserve">, killing 47 and injuring nearly 100. The timing was not incidental: the BLA is applying pressure at chokepoints to make extraction economically unsound. The corridor's exposure is structural. The N-25 runs 813 kilometers between Karachi and the Afghan border at Chaman as a single-lane road already notorious for accidents before it became an insurgent target, leaving little redundancy when a stretch closes. Reko Diq's copper-gold concentrate</w:t>
      </w:r>
      <w:r w:rsidDel="00000000" w:rsidR="00000000" w:rsidRPr="00000000">
        <w:rPr>
          <w:sz w:val="24"/>
          <w:szCs w:val="24"/>
          <w:vertAlign w:val="superscript"/>
          <w:rtl w:val="0"/>
        </w:rPr>
        <w:t xml:space="preserve">22</w:t>
      </w:r>
      <w:r w:rsidDel="00000000" w:rsidR="00000000" w:rsidRPr="00000000">
        <w:rPr>
          <w:sz w:val="24"/>
          <w:szCs w:val="24"/>
          <w:rtl w:val="0"/>
        </w:rPr>
        <w:t xml:space="preserve"> is slated to move entirely by rail over roughly 1,400 kilometers to Port Qasim in Karachi, a single route with no alternative, meaning a handful of well-placed strikes could stall the project's output entirely. Saindak's 400,000-tonne target depends on the same road and rail network already absorbing most BLA attacks. Beijing reads the May 24 timing as a warning aimed squarely at China; Western investors read it as evidence of a province too unstable for anyone to operate in safely.</w:t>
      </w:r>
    </w:p>
    <w:p w:rsidR="00000000" w:rsidDel="00000000" w:rsidP="00000000" w:rsidRDefault="00000000" w:rsidRPr="00000000" w14:paraId="000000BB">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Operation Herof and the Investor Split</w:t>
      </w:r>
      <w:r w:rsidDel="00000000" w:rsidR="00000000" w:rsidRPr="00000000">
        <w:rPr>
          <w:rtl w:val="0"/>
        </w:rPr>
      </w:r>
    </w:p>
    <w:p w:rsidR="00000000" w:rsidDel="00000000" w:rsidP="00000000" w:rsidRDefault="00000000" w:rsidRPr="00000000" w14:paraId="000000BC">
      <w:pPr>
        <w:spacing w:after="160" w:line="276" w:lineRule="auto"/>
        <w:jc w:val="both"/>
        <w:rPr>
          <w:sz w:val="24"/>
          <w:szCs w:val="24"/>
        </w:rPr>
      </w:pPr>
      <w:r w:rsidDel="00000000" w:rsidR="00000000" w:rsidRPr="00000000">
        <w:rPr>
          <w:sz w:val="24"/>
          <w:szCs w:val="24"/>
          <w:rtl w:val="0"/>
        </w:rPr>
        <w:t xml:space="preserve">Beyond routine attacks, the BLA has run two coordinated campaigns under the name Operation Herof</w:t>
      </w:r>
      <w:r w:rsidDel="00000000" w:rsidR="00000000" w:rsidRPr="00000000">
        <w:rPr>
          <w:sz w:val="24"/>
          <w:szCs w:val="24"/>
          <w:vertAlign w:val="superscript"/>
          <w:rtl w:val="0"/>
        </w:rPr>
        <w:t xml:space="preserve">23</w:t>
      </w:r>
      <w:r w:rsidDel="00000000" w:rsidR="00000000" w:rsidRPr="00000000">
        <w:rPr>
          <w:sz w:val="24"/>
          <w:szCs w:val="24"/>
          <w:rtl w:val="0"/>
        </w:rPr>
        <w:t xml:space="preserve">. The first, launched overnight in late August, blockaded the N-8 and N-70 highways simultaneously across five districts. The second ran six days in late January and early February, striking police stations, counterterrorism offices, and banks while achieving effective control of 10 cities, including Gwadar and Dalbandin, near the Reko Diq site; the government reported 22 security personnel and 36 civilians killed. In June 2026 the Balochistan Liberation Front killed 33 security personnel in Khuzdar district, again blockading the CPEC route. Controlling 10 cities for six days is not a typical insurgent act; it is a demonstration of territorial capacity that registers in London, Toronto, and Beijing alike as a signal to stay away.</w:t>
      </w:r>
    </w:p>
    <w:p w:rsidR="00000000" w:rsidDel="00000000" w:rsidP="00000000" w:rsidRDefault="00000000" w:rsidRPr="00000000" w14:paraId="000000BD">
      <w:pPr>
        <w:spacing w:after="160" w:line="276" w:lineRule="auto"/>
        <w:jc w:val="both"/>
        <w:rPr>
          <w:sz w:val="24"/>
          <w:szCs w:val="24"/>
        </w:rPr>
      </w:pPr>
      <w:r w:rsidDel="00000000" w:rsidR="00000000" w:rsidRPr="00000000">
        <w:rPr>
          <w:sz w:val="24"/>
          <w:szCs w:val="24"/>
          <w:rtl w:val="0"/>
        </w:rPr>
        <w:t xml:space="preserve">Yet Chinese and Western investors are reading that signal differently. Twenty Chinese nationals have been killed in Balochistan since 2020. Islamabad has proposed a $260 million Special Protective Unit and joint China-Pakistan training programs, which Beijing has called insufficient. Washington has already begun treating the province's armed groups as a direct security threat: in August 2025 the State Department designated the Balochistan National Army and its Majeed Brigade as a foreign terrorist organization</w:t>
      </w:r>
      <w:r w:rsidDel="00000000" w:rsidR="00000000" w:rsidRPr="00000000">
        <w:rPr>
          <w:sz w:val="24"/>
          <w:szCs w:val="24"/>
          <w:vertAlign w:val="superscript"/>
          <w:rtl w:val="0"/>
        </w:rPr>
        <w:t xml:space="preserve">24</w:t>
      </w:r>
      <w:r w:rsidDel="00000000" w:rsidR="00000000" w:rsidRPr="00000000">
        <w:rPr>
          <w:sz w:val="24"/>
          <w:szCs w:val="24"/>
          <w:rtl w:val="0"/>
        </w:rPr>
        <w:t xml:space="preserve">. After Operation Herof's second wave, Barrick Gold announced a formal review of all aspects of its Balochistan operations</w:t>
      </w:r>
      <w:r w:rsidDel="00000000" w:rsidR="00000000" w:rsidRPr="00000000">
        <w:rPr>
          <w:sz w:val="24"/>
          <w:szCs w:val="24"/>
          <w:vertAlign w:val="superscript"/>
          <w:rtl w:val="0"/>
        </w:rPr>
        <w:t xml:space="preserve">25</w:t>
      </w:r>
      <w:r w:rsidDel="00000000" w:rsidR="00000000" w:rsidRPr="00000000">
        <w:rPr>
          <w:sz w:val="24"/>
          <w:szCs w:val="24"/>
          <w:rtl w:val="0"/>
        </w:rPr>
        <w:t xml:space="preserve">, subsequently slowing development for at least 12 months. No comparable Chinese firm has signaled a similar review. Western capital has not vanished entirely: Missouri-based U.S. Strategic Metals signed a $500 million refining deal with Pakistan's Frontier Works Organization</w:t>
      </w:r>
      <w:r w:rsidDel="00000000" w:rsidR="00000000" w:rsidRPr="00000000">
        <w:rPr>
          <w:sz w:val="24"/>
          <w:szCs w:val="24"/>
          <w:vertAlign w:val="superscript"/>
          <w:rtl w:val="0"/>
        </w:rPr>
        <w:t xml:space="preserve">26</w:t>
      </w:r>
      <w:r w:rsidDel="00000000" w:rsidR="00000000" w:rsidRPr="00000000">
        <w:rPr>
          <w:sz w:val="24"/>
          <w:szCs w:val="24"/>
          <w:rtl w:val="0"/>
        </w:rPr>
        <w:t xml:space="preserve"> in September 2025, but that agreement centers on downstream processing rather than extraction inside Balochistan's insurgent-hit districts, leaving the underlying asymmetry intact. Barrick, accountable to Western shareholders</w:t>
      </w:r>
      <w:r w:rsidDel="00000000" w:rsidR="00000000" w:rsidRPr="00000000">
        <w:rPr>
          <w:sz w:val="24"/>
          <w:szCs w:val="24"/>
          <w:vertAlign w:val="superscript"/>
          <w:rtl w:val="0"/>
        </w:rPr>
        <w:t xml:space="preserve">27</w:t>
      </w:r>
      <w:r w:rsidDel="00000000" w:rsidR="00000000" w:rsidRPr="00000000">
        <w:rPr>
          <w:sz w:val="24"/>
          <w:szCs w:val="24"/>
          <w:rtl w:val="0"/>
        </w:rPr>
        <w:t xml:space="preserve">, cannot justify the exposure; Chinese state-owned firms, backed by Beijing's willingness to absorb losses as a strategic rather than commercial calculation, can. The longer the conflict runs, the more that gap pushes Western capital out and consolidates Chinese control over what is becoming a critical mineral chokepoint.</w:t>
      </w:r>
    </w:p>
    <w:p w:rsidR="00000000" w:rsidDel="00000000" w:rsidP="00000000" w:rsidRDefault="00000000" w:rsidRPr="00000000" w14:paraId="000000BE">
      <w:pPr>
        <w:pStyle w:val="Heading2"/>
        <w:spacing w:after="120" w:before="240" w:lineRule="auto"/>
        <w:rPr>
          <w:sz w:val="28"/>
          <w:szCs w:val="28"/>
        </w:rPr>
      </w:pPr>
      <w:r w:rsidDel="00000000" w:rsidR="00000000" w:rsidRPr="00000000">
        <w:rPr>
          <w:rFonts w:ascii="Times New Roman" w:cs="Times New Roman" w:eastAsia="Times New Roman" w:hAnsi="Times New Roman"/>
          <w:b w:val="1"/>
          <w:bCs w:val="1"/>
          <w:color w:val="000000"/>
          <w:rtl w:val="0"/>
        </w:rPr>
        <w:t xml:space="preserve">What Washington Should Do</w:t>
      </w:r>
      <w:r w:rsidDel="00000000" w:rsidR="00000000" w:rsidRPr="00000000">
        <w:rPr>
          <w:rtl w:val="0"/>
        </w:rPr>
      </w:r>
    </w:p>
    <w:p w:rsidR="00000000" w:rsidDel="00000000" w:rsidP="00000000" w:rsidRDefault="00000000" w:rsidRPr="00000000" w14:paraId="000000BF">
      <w:pPr>
        <w:spacing w:after="160" w:line="276" w:lineRule="auto"/>
        <w:jc w:val="both"/>
        <w:rPr>
          <w:sz w:val="24"/>
          <w:szCs w:val="24"/>
        </w:rPr>
      </w:pPr>
      <w:r w:rsidDel="00000000" w:rsidR="00000000" w:rsidRPr="00000000">
        <w:rPr>
          <w:sz w:val="24"/>
          <w:szCs w:val="24"/>
          <w:rtl w:val="0"/>
        </w:rPr>
        <w:t xml:space="preserve">Balochistan illustrates a basic problem with mineral wealth: it generates conflict as readily as it generates income, and investors who only look at deposit size are missing the question of who actually controls the ground beneath them. China holds an advantage here because state-owned firms can absorb losses</w:t>
      </w:r>
      <w:r w:rsidDel="00000000" w:rsidR="00000000" w:rsidRPr="00000000">
        <w:rPr>
          <w:sz w:val="24"/>
          <w:szCs w:val="24"/>
          <w:vertAlign w:val="superscript"/>
          <w:rtl w:val="0"/>
        </w:rPr>
        <w:t xml:space="preserve">28</w:t>
      </w:r>
      <w:r w:rsidDel="00000000" w:rsidR="00000000" w:rsidRPr="00000000">
        <w:rPr>
          <w:sz w:val="24"/>
          <w:szCs w:val="24"/>
          <w:rtl w:val="0"/>
        </w:rPr>
        <w:t xml:space="preserve"> that would sink a public company, while Western capital retreats by market logic alone. That gap is closeable. Washington could expand a U.S. International Development Finance Corporation</w:t>
      </w:r>
      <w:r w:rsidDel="00000000" w:rsidR="00000000" w:rsidRPr="00000000">
        <w:rPr>
          <w:sz w:val="24"/>
          <w:szCs w:val="24"/>
          <w:vertAlign w:val="superscript"/>
          <w:rtl w:val="0"/>
        </w:rPr>
        <w:t xml:space="preserve">29</w:t>
      </w:r>
      <w:r w:rsidDel="00000000" w:rsidR="00000000" w:rsidRPr="00000000">
        <w:rPr>
          <w:sz w:val="24"/>
          <w:szCs w:val="24"/>
          <w:rtl w:val="0"/>
        </w:rPr>
        <w:t xml:space="preserve"> co-investment structure that backstops private capital in high-risk environments, mirroring how Chinese policy banks backstop their own state firms, without taking on the legitimacy costs of competing directly with Beijing's model. Washington has already taken a first step: in February 2026 the DFC committed $1.3 billion to Reko Diq under its Project Vault initiative</w:t>
      </w:r>
      <w:r w:rsidDel="00000000" w:rsidR="00000000" w:rsidRPr="00000000">
        <w:rPr>
          <w:sz w:val="24"/>
          <w:szCs w:val="24"/>
          <w:vertAlign w:val="superscript"/>
          <w:rtl w:val="0"/>
        </w:rPr>
        <w:t xml:space="preserve">30</w:t>
      </w:r>
      <w:r w:rsidDel="00000000" w:rsidR="00000000" w:rsidRPr="00000000">
        <w:rPr>
          <w:sz w:val="24"/>
          <w:szCs w:val="24"/>
          <w:rtl w:val="0"/>
        </w:rPr>
        <w:t xml:space="preserve">, though that single commitment is a down payment, not the kind of standing backstop that would change Barrick's calculus. A parallel option is G7-coordinated political risk insurance</w:t>
      </w:r>
      <w:r w:rsidDel="00000000" w:rsidR="00000000" w:rsidRPr="00000000">
        <w:rPr>
          <w:sz w:val="24"/>
          <w:szCs w:val="24"/>
          <w:vertAlign w:val="superscript"/>
          <w:rtl w:val="0"/>
        </w:rPr>
        <w:t xml:space="preserve">31</w:t>
      </w:r>
      <w:r w:rsidDel="00000000" w:rsidR="00000000" w:rsidRPr="00000000">
        <w:rPr>
          <w:sz w:val="24"/>
          <w:szCs w:val="24"/>
          <w:rtl w:val="0"/>
        </w:rPr>
        <w:t xml:space="preserve"> for private mineral investment, similar to existing Multilateral Investment Guarantee Agency</w:t>
      </w:r>
      <w:r w:rsidDel="00000000" w:rsidR="00000000" w:rsidRPr="00000000">
        <w:rPr>
          <w:sz w:val="24"/>
          <w:szCs w:val="24"/>
          <w:vertAlign w:val="superscript"/>
          <w:rtl w:val="0"/>
        </w:rPr>
        <w:t xml:space="preserve">32</w:t>
      </w:r>
      <w:r w:rsidDel="00000000" w:rsidR="00000000" w:rsidRPr="00000000">
        <w:rPr>
          <w:sz w:val="24"/>
          <w:szCs w:val="24"/>
          <w:rtl w:val="0"/>
        </w:rPr>
        <w:t xml:space="preserve"> coverage, spreading the cost of risk across allies rather than leaving it to a single company's balance sheet.</w:t>
      </w:r>
    </w:p>
    <w:p w:rsidR="00000000" w:rsidDel="00000000" w:rsidP="00000000" w:rsidRDefault="00000000" w:rsidRPr="00000000" w14:paraId="000000C0">
      <w:pPr>
        <w:spacing w:after="160" w:line="276" w:lineRule="auto"/>
        <w:jc w:val="both"/>
        <w:rPr>
          <w:sz w:val="24"/>
          <w:szCs w:val="24"/>
        </w:rPr>
      </w:pPr>
      <w:r w:rsidDel="00000000" w:rsidR="00000000" w:rsidRPr="00000000">
        <w:rPr>
          <w:sz w:val="24"/>
          <w:szCs w:val="24"/>
          <w:rtl w:val="0"/>
        </w:rPr>
        <w:t xml:space="preserve">Either approach beats the alternative of simply ceding Balochistan to Chinese capital by default. But Washington should also recognize when a fight isn't winnable on current terms: redirecting some Western investment toward lower-risk mineral corridors, such as Zambia</w:t>
      </w:r>
      <w:r w:rsidDel="00000000" w:rsidR="00000000" w:rsidRPr="00000000">
        <w:rPr>
          <w:sz w:val="24"/>
          <w:szCs w:val="24"/>
          <w:vertAlign w:val="superscript"/>
          <w:rtl w:val="0"/>
        </w:rPr>
        <w:t xml:space="preserve">33</w:t>
      </w:r>
      <w:r w:rsidDel="00000000" w:rsidR="00000000" w:rsidRPr="00000000">
        <w:rPr>
          <w:sz w:val="24"/>
          <w:szCs w:val="24"/>
          <w:rtl w:val="0"/>
        </w:rPr>
        <w:t xml:space="preserve"> or Canada's Ring of Fire</w:t>
      </w:r>
      <w:r w:rsidDel="00000000" w:rsidR="00000000" w:rsidRPr="00000000">
        <w:rPr>
          <w:sz w:val="24"/>
          <w:szCs w:val="24"/>
          <w:vertAlign w:val="superscript"/>
          <w:rtl w:val="0"/>
        </w:rPr>
        <w:t xml:space="preserve">34</w:t>
      </w:r>
      <w:r w:rsidDel="00000000" w:rsidR="00000000" w:rsidRPr="00000000">
        <w:rPr>
          <w:sz w:val="24"/>
          <w:szCs w:val="24"/>
          <w:rtl w:val="0"/>
        </w:rPr>
        <w:t xml:space="preserve">, may do more for supply chain security than continuing to bid for ground in a province where China can absorb risk that Western firms cannot. The imbalance in Balochistan was created by those who can afford to lose money there. Closing it will take a Western answer to that same question, not just better intentions.</w:t>
      </w:r>
    </w:p>
    <w:p w:rsidR="00000000" w:rsidDel="00000000" w:rsidP="00000000" w:rsidRDefault="00000000" w:rsidRPr="00000000" w14:paraId="000000C1">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2">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The Butterfly Effect: Vulnerability in Indonesia's Nickel Supply Chain</w:t>
      </w:r>
      <w:r w:rsidDel="00000000" w:rsidR="00000000" w:rsidRPr="00000000">
        <w:rPr>
          <w:rtl w:val="0"/>
        </w:rPr>
      </w:r>
    </w:p>
    <w:p w:rsidR="00000000" w:rsidDel="00000000" w:rsidP="00000000" w:rsidRDefault="00000000" w:rsidRPr="00000000" w14:paraId="000000C3">
      <w:pPr>
        <w:spacing w:after="120" w:lineRule="auto"/>
        <w:rPr>
          <w:sz w:val="24"/>
          <w:szCs w:val="24"/>
        </w:rPr>
      </w:pPr>
      <w:r w:rsidDel="00000000" w:rsidR="00000000" w:rsidRPr="00000000">
        <w:rPr>
          <w:i w:val="1"/>
          <w:iCs w:val="1"/>
          <w:color w:val="000000"/>
          <w:sz w:val="24"/>
          <w:szCs w:val="24"/>
          <w:rtl w:val="0"/>
        </w:rPr>
        <w:t xml:space="preserve">J. M. Lindstrom, Afrina M.R.F.</w:t>
      </w:r>
      <w:r w:rsidDel="00000000" w:rsidR="00000000" w:rsidRPr="00000000">
        <w:rPr>
          <w:rtl w:val="0"/>
        </w:rPr>
      </w:r>
    </w:p>
    <w:p w:rsidR="00000000" w:rsidDel="00000000" w:rsidP="00000000" w:rsidRDefault="00000000" w:rsidRPr="00000000" w14:paraId="000000C4">
      <w:pPr>
        <w:spacing w:after="100" w:before="200" w:lineRule="auto"/>
        <w:jc w:val="center"/>
        <w:rPr/>
      </w:pPr>
      <w:r w:rsidDel="00000000" w:rsidR="00000000" w:rsidRPr="00000000">
        <w:rPr/>
        <w:drawing>
          <wp:inline distB="0" distT="0" distL="0" distR="0">
            <wp:extent cx="4191000" cy="34290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191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spacing w:after="120" w:lineRule="auto"/>
        <w:jc w:val="both"/>
        <w:rPr/>
      </w:pPr>
      <w:r w:rsidDel="00000000" w:rsidR="00000000" w:rsidRPr="00000000">
        <w:rPr>
          <w:i w:val="1"/>
          <w:iCs w:val="1"/>
          <w:rtl w:val="0"/>
        </w:rPr>
        <w:t xml:space="preserve">Figure 1: Spatial concentration of Indonesia's nickel supply chain showing extraction areas, processing hubs (IMIP and IWIP), dedicated export jetties, and the primary maritime shipping corridor through the Strait of Malacca.</w:t>
      </w:r>
      <w:r w:rsidDel="00000000" w:rsidR="00000000" w:rsidRPr="00000000">
        <w:rPr>
          <w:rtl w:val="0"/>
        </w:rPr>
      </w:r>
    </w:p>
    <w:p w:rsidR="00000000" w:rsidDel="00000000" w:rsidP="00000000" w:rsidRDefault="00000000" w:rsidRPr="00000000" w14:paraId="000000C6">
      <w:pPr>
        <w:spacing w:after="120" w:lineRule="auto"/>
        <w:jc w:val="both"/>
        <w:rPr/>
      </w:pPr>
      <w:r w:rsidDel="00000000" w:rsidR="00000000" w:rsidRPr="00000000">
        <w:rPr>
          <w:i w:val="1"/>
          <w:iCs w:val="1"/>
          <w:rtl w:val="0"/>
        </w:rPr>
        <w:t xml:space="preserve">(Source: Compiled by the author; based on data from CSIS, USGS Mineral Commodity Summaries, and C4ADS spatial infrastructure analysis.)</w:t>
      </w:r>
      <w:r w:rsidDel="00000000" w:rsidR="00000000" w:rsidRPr="00000000">
        <w:rPr>
          <w:rtl w:val="0"/>
        </w:rPr>
      </w:r>
    </w:p>
    <w:p w:rsidR="00000000" w:rsidDel="00000000" w:rsidP="00000000" w:rsidRDefault="00000000" w:rsidRPr="00000000" w14:paraId="000000C7">
      <w:pPr>
        <w:spacing w:after="160" w:line="276" w:lineRule="auto"/>
        <w:jc w:val="both"/>
        <w:rPr>
          <w:sz w:val="24"/>
          <w:szCs w:val="24"/>
        </w:rPr>
      </w:pPr>
      <w:r w:rsidDel="00000000" w:rsidR="00000000" w:rsidRPr="00000000">
        <w:rPr>
          <w:sz w:val="24"/>
          <w:szCs w:val="24"/>
          <w:rtl w:val="0"/>
        </w:rPr>
        <w:t xml:space="preserve">The heat of an explosion cannot be written accurately. The intensity of a sound felt more than heard, the walls of fire which engulfed the furnace they were born from, the workers whose lives were altered or lost as a result. As the smoke wafted away, workers returned hours later to resume their work, despite burns from steam and their twenty-one now-deceased colleagues. It would only be days later that the surviving workers would protest. The date is December 2023, the place is Indonesia, the furnace explosion is the responsibility of PT Indonesia Tsingshan Stainless Steel, based in the Morowali Industrial Park in Central Sulawesi province. More recently, however, there was a landslide, also in Morowali, taking the life of one more worker in March 2025.</w:t>
      </w:r>
    </w:p>
    <w:p w:rsidR="00000000" w:rsidDel="00000000" w:rsidP="00000000" w:rsidRDefault="00000000" w:rsidRPr="00000000" w14:paraId="000000C8">
      <w:pPr>
        <w:spacing w:after="160" w:line="276" w:lineRule="auto"/>
        <w:jc w:val="both"/>
        <w:rPr>
          <w:sz w:val="24"/>
          <w:szCs w:val="24"/>
        </w:rPr>
      </w:pPr>
      <w:r w:rsidDel="00000000" w:rsidR="00000000" w:rsidRPr="00000000">
        <w:rPr>
          <w:sz w:val="24"/>
          <w:szCs w:val="24"/>
          <w:rtl w:val="0"/>
        </w:rPr>
        <w:t xml:space="preserve">The repetition of actions is not the result of confirmation bias so much as pattern recognition. If an individual continually falls ill, one must stop blaming fate for symptoms and begin questioning the cause instead: the environment. Indonesia suffers uniquely from a manifestation of the resource curse; its surplus of nickel creates not corruption, but instead a second, worse, soft underbelly.</w:t>
      </w:r>
    </w:p>
    <w:p w:rsidR="00000000" w:rsidDel="00000000" w:rsidP="00000000" w:rsidRDefault="00000000" w:rsidRPr="00000000" w14:paraId="000000C9">
      <w:pPr>
        <w:spacing w:after="160" w:line="276" w:lineRule="auto"/>
        <w:jc w:val="both"/>
        <w:rPr>
          <w:sz w:val="24"/>
          <w:szCs w:val="24"/>
        </w:rPr>
      </w:pPr>
      <w:r w:rsidDel="00000000" w:rsidR="00000000" w:rsidRPr="00000000">
        <w:rPr>
          <w:sz w:val="24"/>
          <w:szCs w:val="24"/>
          <w:rtl w:val="0"/>
        </w:rPr>
        <w:t xml:space="preserve">Indonesia's nickel supply chain does not exhibit vulnerability through production shortage or trade imbalance, but through extreme spatial compression of industrial infrastructure. As shown in Figure 1, extraction sites distributed across Sulawesi and Halmahera are not directly linked to diversified export systems. Instead, they are funneled into two highly concentrated processing and export complexes: the Indonesia Morowali Industrial Park (IMIP) and the Indonesia Weda Bay Industrial Park (IWIP), which CSIS identifies</w:t>
      </w:r>
      <w:r w:rsidDel="00000000" w:rsidR="00000000" w:rsidRPr="00000000">
        <w:rPr>
          <w:sz w:val="24"/>
          <w:szCs w:val="24"/>
          <w:vertAlign w:val="superscript"/>
          <w:rtl w:val="0"/>
        </w:rPr>
        <w:t xml:space="preserve">1</w:t>
      </w:r>
      <w:r w:rsidDel="00000000" w:rsidR="00000000" w:rsidRPr="00000000">
        <w:rPr>
          <w:sz w:val="24"/>
          <w:szCs w:val="24"/>
          <w:rtl w:val="0"/>
        </w:rPr>
        <w:t xml:space="preserve"> as the dominant physical gateways for battery-grade nickel output, corroborated by USGS mineral data</w:t>
      </w:r>
      <w:r w:rsidDel="00000000" w:rsidR="00000000" w:rsidRPr="00000000">
        <w:rPr>
          <w:sz w:val="24"/>
          <w:szCs w:val="24"/>
          <w:vertAlign w:val="superscript"/>
          <w:rtl w:val="0"/>
        </w:rPr>
        <w:t xml:space="preserve">2</w:t>
      </w:r>
      <w:r w:rsidDel="00000000" w:rsidR="00000000" w:rsidRPr="00000000">
        <w:rPr>
          <w:sz w:val="24"/>
          <w:szCs w:val="24"/>
          <w:rtl w:val="0"/>
        </w:rPr>
        <w:t xml:space="preserve">.</w:t>
      </w:r>
    </w:p>
    <w:p w:rsidR="00000000" w:rsidDel="00000000" w:rsidP="00000000" w:rsidRDefault="00000000" w:rsidRPr="00000000" w14:paraId="000000CA">
      <w:pPr>
        <w:spacing w:after="160" w:line="276" w:lineRule="auto"/>
        <w:jc w:val="both"/>
        <w:rPr>
          <w:sz w:val="24"/>
          <w:szCs w:val="24"/>
        </w:rPr>
      </w:pPr>
      <w:r w:rsidDel="00000000" w:rsidR="00000000" w:rsidRPr="00000000">
        <w:rPr>
          <w:sz w:val="24"/>
          <w:szCs w:val="24"/>
          <w:rtl w:val="0"/>
        </w:rPr>
        <w:t xml:space="preserve">This spatial structure produces a form of systemic exposure that is not visible in conventional trade statistics. Export data typically reflects national-level flows between Indonesia and importing states, creating the impression of a distributed and resilient supply network. However, peer-reviewed research on Indonesia's nickel enclaves</w:t>
      </w:r>
      <w:r w:rsidDel="00000000" w:rsidR="00000000" w:rsidRPr="00000000">
        <w:rPr>
          <w:sz w:val="24"/>
          <w:szCs w:val="24"/>
          <w:vertAlign w:val="superscript"/>
          <w:rtl w:val="0"/>
        </w:rPr>
        <w:t xml:space="preserve">3 </w:t>
      </w:r>
      <w:r w:rsidDel="00000000" w:rsidR="00000000" w:rsidRPr="00000000">
        <w:rPr>
          <w:sz w:val="24"/>
          <w:szCs w:val="24"/>
          <w:rtl w:val="0"/>
        </w:rPr>
        <w:t xml:space="preserve">confirms that multiple independent mining operations ultimately depend on a very small number of processing hubs and dedicated export jetties, a pattern also documented by CSIS</w:t>
      </w:r>
      <w:r w:rsidDel="00000000" w:rsidR="00000000" w:rsidRPr="00000000">
        <w:rPr>
          <w:sz w:val="24"/>
          <w:szCs w:val="24"/>
          <w:vertAlign w:val="superscript"/>
          <w:rtl w:val="0"/>
        </w:rPr>
        <w:t xml:space="preserve">4</w:t>
      </w:r>
      <w:r w:rsidDel="00000000" w:rsidR="00000000" w:rsidRPr="00000000">
        <w:rPr>
          <w:sz w:val="24"/>
          <w:szCs w:val="24"/>
          <w:rtl w:val="0"/>
        </w:rPr>
        <w:t xml:space="preserve">. This compression of material flow into a limited set of physical nodes creates a structural bottleneck in the supply chain.</w:t>
      </w:r>
    </w:p>
    <w:p w:rsidR="00000000" w:rsidDel="00000000" w:rsidP="00000000" w:rsidRDefault="00000000" w:rsidRPr="00000000" w14:paraId="000000CB">
      <w:pPr>
        <w:spacing w:after="160" w:line="276" w:lineRule="auto"/>
        <w:jc w:val="both"/>
        <w:rPr>
          <w:sz w:val="24"/>
          <w:szCs w:val="24"/>
        </w:rPr>
      </w:pPr>
      <w:r w:rsidDel="00000000" w:rsidR="00000000" w:rsidRPr="00000000">
        <w:rPr>
          <w:sz w:val="24"/>
          <w:szCs w:val="24"/>
          <w:rtl w:val="0"/>
        </w:rPr>
        <w:t xml:space="preserve">Figure 1 demonstrates that IMIP and IWIP operate as integrated extraction-to-export systems rather than isolated industrial sites. Ore extracted from surrounding mining concessions is transported into these industrial parks, where it is processed through large-scale smelting and refining infrastructure. The output is then exported through dedicated industrial jetties directly connected to the processing zones. These jetties are not part of diversified public port systems; spatial analysis of port infrastructure</w:t>
      </w:r>
      <w:r w:rsidDel="00000000" w:rsidR="00000000" w:rsidRPr="00000000">
        <w:rPr>
          <w:sz w:val="24"/>
          <w:szCs w:val="24"/>
          <w:vertAlign w:val="superscript"/>
          <w:rtl w:val="0"/>
        </w:rPr>
        <w:t xml:space="preserve">5</w:t>
      </w:r>
      <w:r w:rsidDel="00000000" w:rsidR="00000000" w:rsidRPr="00000000">
        <w:rPr>
          <w:sz w:val="24"/>
          <w:szCs w:val="24"/>
          <w:rtl w:val="0"/>
        </w:rPr>
        <w:t xml:space="preserve"> confirms they function as single-purpose industrial export interfaces, tightly coupled to internal production processes, with port traffic at IWIP alone increasing sharply over the past four years.</w:t>
      </w:r>
    </w:p>
    <w:p w:rsidR="00000000" w:rsidDel="00000000" w:rsidP="00000000" w:rsidRDefault="00000000" w:rsidRPr="00000000" w14:paraId="000000CC">
      <w:pPr>
        <w:spacing w:after="160" w:line="276" w:lineRule="auto"/>
        <w:jc w:val="both"/>
        <w:rPr>
          <w:sz w:val="24"/>
          <w:szCs w:val="24"/>
        </w:rPr>
      </w:pPr>
      <w:r w:rsidDel="00000000" w:rsidR="00000000" w:rsidRPr="00000000">
        <w:rPr>
          <w:sz w:val="24"/>
          <w:szCs w:val="24"/>
          <w:rtl w:val="0"/>
        </w:rPr>
        <w:t xml:space="preserve">The critical vulnerability emerges from this coupling between processing capacity and export functionality. Because both IMIP and IWIP rely on a limited number of export jetties directly attached to processing facilities, disruption at either node has immediate system-wide consequences. Such disruptions may arise from operational failure and labour disruptions, as seen in the fatal December 2023 furnace explosion at IMIP, or extreme weather and geopolitical pressure affecting industrial operations. Importantly, these risks do not need to occur simultaneously; failure at a single node is sufficient to disrupt a significant share of Indonesia's processed nickel exports, illustrated by the March 2025 landslide at PT QMB New Energy Materials, which analysts estimated could delay global EV production targets.</w:t>
      </w:r>
    </w:p>
    <w:p w:rsidR="00000000" w:rsidDel="00000000" w:rsidP="00000000" w:rsidRDefault="00000000" w:rsidRPr="00000000" w14:paraId="000000CD">
      <w:pPr>
        <w:spacing w:after="160" w:line="276" w:lineRule="auto"/>
        <w:jc w:val="both"/>
        <w:rPr>
          <w:sz w:val="24"/>
          <w:szCs w:val="24"/>
        </w:rPr>
      </w:pPr>
      <w:r w:rsidDel="00000000" w:rsidR="00000000" w:rsidRPr="00000000">
        <w:rPr>
          <w:sz w:val="24"/>
          <w:szCs w:val="24"/>
          <w:rtl w:val="0"/>
        </w:rPr>
        <w:t xml:space="preserve">This spatial concentration is reinforced at the maritime level. Once exported, shipments from both industrial complexes converge into a shared regional shipping network that passes through the Strait of Malacca, which CSIS identifies</w:t>
      </w:r>
      <w:r w:rsidDel="00000000" w:rsidR="00000000" w:rsidRPr="00000000">
        <w:rPr>
          <w:sz w:val="24"/>
          <w:szCs w:val="24"/>
          <w:vertAlign w:val="superscript"/>
          <w:rtl w:val="0"/>
        </w:rPr>
        <w:t xml:space="preserve">6</w:t>
      </w:r>
      <w:r w:rsidDel="00000000" w:rsidR="00000000" w:rsidRPr="00000000">
        <w:rPr>
          <w:sz w:val="24"/>
          <w:szCs w:val="24"/>
          <w:rtl w:val="0"/>
        </w:rPr>
        <w:t xml:space="preserve"> as one of the world's most strategically significant maritime chokepoints, a finding consistent with UNCTAD's Review of Maritime Transport</w:t>
      </w:r>
      <w:r w:rsidDel="00000000" w:rsidR="00000000" w:rsidRPr="00000000">
        <w:rPr>
          <w:sz w:val="24"/>
          <w:szCs w:val="24"/>
          <w:vertAlign w:val="superscript"/>
          <w:rtl w:val="0"/>
        </w:rPr>
        <w:t xml:space="preserve">7</w:t>
      </w:r>
      <w:r w:rsidDel="00000000" w:rsidR="00000000" w:rsidRPr="00000000">
        <w:rPr>
          <w:sz w:val="24"/>
          <w:szCs w:val="24"/>
          <w:rtl w:val="0"/>
        </w:rPr>
        <w:t xml:space="preserve">.</w:t>
      </w:r>
    </w:p>
    <w:p w:rsidR="00000000" w:rsidDel="00000000" w:rsidP="00000000" w:rsidRDefault="00000000" w:rsidRPr="00000000" w14:paraId="000000CE">
      <w:pPr>
        <w:spacing w:after="160" w:line="276" w:lineRule="auto"/>
        <w:jc w:val="both"/>
        <w:rPr>
          <w:sz w:val="24"/>
          <w:szCs w:val="24"/>
        </w:rPr>
      </w:pPr>
      <w:r w:rsidDel="00000000" w:rsidR="00000000" w:rsidRPr="00000000">
        <w:rPr>
          <w:sz w:val="24"/>
          <w:szCs w:val="24"/>
          <w:rtl w:val="0"/>
        </w:rPr>
        <w:t xml:space="preserve">The implication of this structure is that resilience assessments based on national production capacity or trade diversification significantly underestimate systemic risk. While Indonesia may appear to have multiple mining regions and diverse international buyers, the actual physical movement of material is dependent on a small number of infrastructure nodes. These nodes are shared across multiple global supply chains, meaning that downstream industries, particularly electric vehicle and battery manufacturers, are indirectly exposed to localized disruptions within Indonesia's industrial zones, as documented by the IEA's Global Critical Minerals Outlook</w:t>
      </w:r>
      <w:r w:rsidDel="00000000" w:rsidR="00000000" w:rsidRPr="00000000">
        <w:rPr>
          <w:sz w:val="24"/>
          <w:szCs w:val="24"/>
          <w:vertAlign w:val="superscript"/>
          <w:rtl w:val="0"/>
        </w:rPr>
        <w:t xml:space="preserve">8</w:t>
      </w:r>
      <w:r w:rsidDel="00000000" w:rsidR="00000000" w:rsidRPr="00000000">
        <w:rPr>
          <w:sz w:val="24"/>
          <w:szCs w:val="24"/>
          <w:rtl w:val="0"/>
        </w:rPr>
        <w:t xml:space="preserve"> and USGS mineral resource data</w:t>
      </w:r>
      <w:r w:rsidDel="00000000" w:rsidR="00000000" w:rsidRPr="00000000">
        <w:rPr>
          <w:sz w:val="24"/>
          <w:szCs w:val="24"/>
          <w:vertAlign w:val="superscript"/>
          <w:rtl w:val="0"/>
        </w:rPr>
        <w:t xml:space="preserve">9</w:t>
      </w:r>
      <w:r w:rsidDel="00000000" w:rsidR="00000000" w:rsidRPr="00000000">
        <w:rPr>
          <w:sz w:val="24"/>
          <w:szCs w:val="24"/>
          <w:rtl w:val="0"/>
        </w:rPr>
        <w:t xml:space="preserve">.</w:t>
      </w:r>
    </w:p>
    <w:p w:rsidR="00000000" w:rsidDel="00000000" w:rsidP="00000000" w:rsidRDefault="00000000" w:rsidRPr="00000000" w14:paraId="000000CF">
      <w:pPr>
        <w:spacing w:after="160" w:line="276" w:lineRule="auto"/>
        <w:jc w:val="both"/>
        <w:rPr>
          <w:sz w:val="24"/>
          <w:szCs w:val="24"/>
        </w:rPr>
      </w:pPr>
      <w:r w:rsidDel="00000000" w:rsidR="00000000" w:rsidRPr="00000000">
        <w:rPr>
          <w:sz w:val="24"/>
          <w:szCs w:val="24"/>
          <w:rtl w:val="0"/>
        </w:rPr>
        <w:t xml:space="preserve">On December 24th, 2023, a furnace, while under maintenance at the PT Indonesia Tsingshan Stainless Steel factory, exploded inside IMIP. The blast was attributed to residual explosive liquid, which, once ignited, spread quickly to nearby oxygen cylinders, leading to the death of 21 workers, 13 of whom were Indonesian nationals and 8 Chinese nationals. Hospital triage records showed over 26% of treated patients sustained second-degree burns, while the police ordered ITSS to suspend operations</w:t>
      </w:r>
      <w:r w:rsidDel="00000000" w:rsidR="00000000" w:rsidRPr="00000000">
        <w:rPr>
          <w:sz w:val="24"/>
          <w:szCs w:val="24"/>
          <w:vertAlign w:val="superscript"/>
          <w:rtl w:val="0"/>
        </w:rPr>
        <w:t xml:space="preserve">10</w:t>
      </w:r>
      <w:r w:rsidDel="00000000" w:rsidR="00000000" w:rsidRPr="00000000">
        <w:rPr>
          <w:sz w:val="24"/>
          <w:szCs w:val="24"/>
          <w:rtl w:val="0"/>
        </w:rPr>
        <w:t xml:space="preserve"> pending investigation. Approximately 100 workers protested at the now charred complex three days following the incident, demanding a full shutdown of all IMIP smelting operations until a thorough safety review had been completed. This suspension, however, was only partial and as short-lived as the flames of the explosion. Production throughout the wider complex continued, despite such risk and disruption.</w:t>
      </w:r>
    </w:p>
    <w:p w:rsidR="00000000" w:rsidDel="00000000" w:rsidP="00000000" w:rsidRDefault="00000000" w:rsidRPr="00000000" w14:paraId="000000D0">
      <w:pPr>
        <w:spacing w:after="160" w:line="276" w:lineRule="auto"/>
        <w:jc w:val="both"/>
        <w:rPr>
          <w:sz w:val="24"/>
          <w:szCs w:val="24"/>
        </w:rPr>
      </w:pPr>
      <w:r w:rsidDel="00000000" w:rsidR="00000000" w:rsidRPr="00000000">
        <w:rPr>
          <w:sz w:val="24"/>
          <w:szCs w:val="24"/>
          <w:rtl w:val="0"/>
        </w:rPr>
        <w:t xml:space="preserve">A day after these protests, four days following the ITSS explosion, a fire in a different facility, a Gunbuster Nickel Indonesia smelter, within the same industrial park, raged. Two days following that incident, on December 28th, a mine excavation landslide left two workers dead at a third IMIP tenant; Sumber Permata Mineral.</w:t>
      </w:r>
    </w:p>
    <w:p w:rsidR="00000000" w:rsidDel="00000000" w:rsidP="00000000" w:rsidRDefault="00000000" w:rsidRPr="00000000" w14:paraId="000000D1">
      <w:pPr>
        <w:spacing w:after="160" w:line="276" w:lineRule="auto"/>
        <w:jc w:val="both"/>
        <w:rPr>
          <w:sz w:val="24"/>
          <w:szCs w:val="24"/>
        </w:rPr>
      </w:pPr>
      <w:r w:rsidDel="00000000" w:rsidR="00000000" w:rsidRPr="00000000">
        <w:rPr>
          <w:sz w:val="24"/>
          <w:szCs w:val="24"/>
          <w:rtl w:val="0"/>
        </w:rPr>
        <w:t xml:space="preserve">This is more than coincidence, more than misfortune in high frequency; it serves as an indicator of the largest liability of the nickel heart of the world. In March 2025, the PT QMB New Energy Materials landslide began another chain of events. The landslide itself struck a tailings storage area at the QMB facility on March 14th, 2025, killing two workers, with a third labeled missing. The collapse forced a near-complete shuttering of operations, while nearby nickel producers reduced their output as well; they declined to be publicly identified. The incident site accounted for approximately 15% of Indonesia's nickel output, and the immediate production halt sent shockwaves throughout the EV battery manufacturers dependent on Indonesian supply. Insiders indicated QMB would likely see reduced output, at the very least, through April 2025, resulting from ongoing government investigation; the plant had previously shipped over 25,000 tonnes of nickel in Q1 alone, prior to the incident.</w:t>
      </w:r>
    </w:p>
    <w:p w:rsidR="00000000" w:rsidDel="00000000" w:rsidP="00000000" w:rsidRDefault="00000000" w:rsidRPr="00000000" w14:paraId="000000D2">
      <w:pPr>
        <w:spacing w:after="160" w:line="276" w:lineRule="auto"/>
        <w:jc w:val="both"/>
        <w:rPr>
          <w:sz w:val="24"/>
          <w:szCs w:val="24"/>
        </w:rPr>
      </w:pPr>
      <w:r w:rsidDel="00000000" w:rsidR="00000000" w:rsidRPr="00000000">
        <w:rPr>
          <w:sz w:val="24"/>
          <w:szCs w:val="24"/>
          <w:rtl w:val="0"/>
        </w:rPr>
        <w:t xml:space="preserve">11 months later, a recurrence of events. The same QMB tailings area faced another landslide; thus prompting Indonesia's environment minister to announce a potential permit revocation. The suspension at QMB was projected to last up to three months; an additional three HPAL joint-venture plants at IMIP correspondingly halting production under this operational review. The four suspended facilities thus collectively account for 30% of Indonesia's HPAL processing capacity; the infrastructure, failing twice under the same pressures, posits natural concern for the vulnerability and risk-management of the world's, particularly Indonesia's, nickel security.</w:t>
      </w:r>
    </w:p>
    <w:p w:rsidR="00000000" w:rsidDel="00000000" w:rsidP="00000000" w:rsidRDefault="00000000" w:rsidRPr="00000000" w14:paraId="000000D3">
      <w:pPr>
        <w:spacing w:after="160" w:line="276" w:lineRule="auto"/>
        <w:jc w:val="both"/>
        <w:rPr>
          <w:sz w:val="24"/>
          <w:szCs w:val="24"/>
        </w:rPr>
      </w:pPr>
      <w:r w:rsidDel="00000000" w:rsidR="00000000" w:rsidRPr="00000000">
        <w:rPr>
          <w:sz w:val="24"/>
          <w:szCs w:val="24"/>
          <w:rtl w:val="0"/>
        </w:rPr>
        <w:t xml:space="preserve">Control of chokepoints in the modern age is a critical path to power, one China has sought time and again to find and exploit. This is true in the nickel production and processing of Indonesia as well. As such, it is this vulnerability which has both a chain of events following it, that of supply shocks after incidents, and preceding it, that of Chinese influence. IMIP's ownership is controlled through Shanghai Decent with a 46.55% stake in PT Sulawesi Mining Investment</w:t>
      </w:r>
      <w:r w:rsidDel="00000000" w:rsidR="00000000" w:rsidRPr="00000000">
        <w:rPr>
          <w:sz w:val="24"/>
          <w:szCs w:val="24"/>
          <w:vertAlign w:val="superscript"/>
          <w:rtl w:val="0"/>
        </w:rPr>
        <w:t xml:space="preserve">11</w:t>
      </w:r>
      <w:r w:rsidDel="00000000" w:rsidR="00000000" w:rsidRPr="00000000">
        <w:rPr>
          <w:sz w:val="24"/>
          <w:szCs w:val="24"/>
          <w:rtl w:val="0"/>
        </w:rPr>
        <w:t xml:space="preserve">; the entity holding IMIP, with China-ASEAN Investment Corporation Fund holding another 24%; the financing for IMIP is provided by the Bank of China and China EXIM Bank. The processing infrastructure that constitutes this most vulnerable point of failure in Indonesia's nickel supply chain is majority Chinese-owned and Chinese-financed. CATL, GEM, and Tsingshan, which thus created QMB, are not investors that happen to fund IMIP; rather, they are the backbone of the global EV battery supply chain; as such, their operational decisions inside the IMIP directly govern what reaches Western manufacturers. For US and allied EV producers, this is not simply the market acting as usual; it is an equal vulnerability as the fires are in the factories therein in this Chinese-IMIP relationship, an exposure upon the IRA critical minerals sourcing rules which were designed to reduce but have not, as of yet, been resolved. Battery-grade nickel processed at IMIP flows through Chinese-controlled offtake agreements toward Chinese battery manufacturers, and it is then through that vassal into global supply chains. A disruption at IMIP constrains Indonesian exports, but it also constrains the processing nodes on which global battery-grade nickel supply depends, while no non-Chinese equivalent HPAL processing exists. Disruption without alternatives is known by another name, leverage, and it is this leverage that is fundamentally held to a chokepoint affecting the entire world as green energy expands. Indonesia's own leverage is more precarious than its production seems to suggest; Western buyers accelerating through Philippine nickel, recycled feedstock investment or the shift toward LFP battery chemistries</w:t>
      </w:r>
      <w:r w:rsidDel="00000000" w:rsidR="00000000" w:rsidRPr="00000000">
        <w:rPr>
          <w:sz w:val="24"/>
          <w:szCs w:val="24"/>
          <w:vertAlign w:val="superscript"/>
          <w:rtl w:val="0"/>
        </w:rPr>
        <w:t xml:space="preserve">12</w:t>
      </w:r>
      <w:r w:rsidDel="00000000" w:rsidR="00000000" w:rsidRPr="00000000">
        <w:rPr>
          <w:sz w:val="24"/>
          <w:szCs w:val="24"/>
          <w:rtl w:val="0"/>
        </w:rPr>
        <w:t xml:space="preserve">, and thus reducing NMC nickel demand, Jakarta's leverage wanes. The export downstreaming policy that brought IMIP into existence was designed to capture value from nickel, and yet it has captured risk through that value by imposing leverage on both sides of the supply chain.</w:t>
      </w:r>
    </w:p>
    <w:p w:rsidR="00000000" w:rsidDel="00000000" w:rsidP="00000000" w:rsidRDefault="00000000" w:rsidRPr="00000000" w14:paraId="000000D4">
      <w:pPr>
        <w:spacing w:after="160" w:line="276" w:lineRule="auto"/>
        <w:jc w:val="both"/>
        <w:rPr>
          <w:sz w:val="24"/>
          <w:szCs w:val="24"/>
        </w:rPr>
      </w:pPr>
      <w:r w:rsidDel="00000000" w:rsidR="00000000" w:rsidRPr="00000000">
        <w:rPr>
          <w:sz w:val="24"/>
          <w:szCs w:val="24"/>
          <w:rtl w:val="0"/>
        </w:rPr>
        <w:t xml:space="preserve">Leverage is mitigated not by ignorance but by action; as such, policy actions must be enacted to protect from exposure resulting from the structural analysis. Firstly, Indonesia should condition new HPAL processing licenses on mandatory offtake and export-node diversification requirements, given that the present processing structure allows multiple independent mining operations on the same processing hub and export interface. Licensing reform requiring new entrants to demonstrate diversified offtake agreements and independent export infrastructure would reduce concentration risk without requiring divestment from present operations.</w:t>
      </w:r>
    </w:p>
    <w:p w:rsidR="00000000" w:rsidDel="00000000" w:rsidP="00000000" w:rsidRDefault="00000000" w:rsidRPr="00000000" w14:paraId="000000D5">
      <w:pPr>
        <w:spacing w:after="160" w:line="276" w:lineRule="auto"/>
        <w:jc w:val="both"/>
        <w:rPr>
          <w:sz w:val="24"/>
          <w:szCs w:val="24"/>
        </w:rPr>
      </w:pPr>
      <w:r w:rsidDel="00000000" w:rsidR="00000000" w:rsidRPr="00000000">
        <w:rPr>
          <w:sz w:val="24"/>
          <w:szCs w:val="24"/>
          <w:rtl w:val="0"/>
        </w:rPr>
        <w:t xml:space="preserve">Secondly, US and allied critical mineral strategy should formally classify Indonesian nickel processing as a point of failure to redress the leverage. This means investment in stockpiling mechanisms for battery-grade nickel intermediates, as well as accelerated development of HPAL capacity separate from IMIP, and treatment of Indonesian supply disruption as a scenario requiring a hedging posture as opposed to a residual risk. The IRA's critical minerals provisions</w:t>
      </w:r>
      <w:r w:rsidDel="00000000" w:rsidR="00000000" w:rsidRPr="00000000">
        <w:rPr>
          <w:sz w:val="24"/>
          <w:szCs w:val="24"/>
          <w:vertAlign w:val="superscript"/>
          <w:rtl w:val="0"/>
        </w:rPr>
        <w:t xml:space="preserve">13  </w:t>
      </w:r>
      <w:r w:rsidDel="00000000" w:rsidR="00000000" w:rsidRPr="00000000">
        <w:rPr>
          <w:sz w:val="24"/>
          <w:szCs w:val="24"/>
          <w:rtl w:val="0"/>
        </w:rPr>
        <w:t xml:space="preserve">create the financing structure supporting this notion; however, the strategic intent has not been acted upon practically yet.</w:t>
      </w:r>
    </w:p>
    <w:p w:rsidR="00000000" w:rsidDel="00000000" w:rsidP="00000000" w:rsidRDefault="00000000" w:rsidRPr="00000000" w14:paraId="000000D6">
      <w:pPr>
        <w:spacing w:after="160" w:line="276" w:lineRule="auto"/>
        <w:jc w:val="both"/>
        <w:rPr>
          <w:sz w:val="24"/>
          <w:szCs w:val="24"/>
        </w:rPr>
      </w:pPr>
      <w:r w:rsidDel="00000000" w:rsidR="00000000" w:rsidRPr="00000000">
        <w:rPr>
          <w:sz w:val="24"/>
          <w:szCs w:val="24"/>
          <w:rtl w:val="0"/>
        </w:rPr>
        <w:t xml:space="preserve">Lastly, independent third-party safety audits at IMIP and IWIP should be mandated as a condition of Western offtake and financing relationships; the fatality rate, although not justifiable, is not isolated from the disruption risk, and each incident which produces a production halt is also a worker protection failure as well as a supply chain event. Reducing these net harms in exchange for continued trade is a logical negotiation, so audits which treat safety compliance as a supply chain variable align both buyer incentives and worker protections.</w:t>
      </w:r>
    </w:p>
    <w:p w:rsidR="00000000" w:rsidDel="00000000" w:rsidP="00000000" w:rsidRDefault="00000000" w:rsidRPr="00000000" w14:paraId="000000D7">
      <w:pPr>
        <w:spacing w:after="160" w:line="276" w:lineRule="auto"/>
        <w:jc w:val="both"/>
        <w:rPr>
          <w:sz w:val="24"/>
          <w:szCs w:val="24"/>
        </w:rPr>
      </w:pPr>
      <w:r w:rsidDel="00000000" w:rsidR="00000000" w:rsidRPr="00000000">
        <w:rPr>
          <w:sz w:val="24"/>
          <w:szCs w:val="24"/>
          <w:rtl w:val="0"/>
        </w:rPr>
        <w:t xml:space="preserve">As the protesters dispersed and the smoke burnt away from the sky, the risk that has been established as a fact of life must be reassessed. In the ruins of the past incident lie the roots of the next, be it faulty furnaces or unstable mining ground; however, each gains a propensity to be higher risk. As such, the shockwaves felt not only from a landslide physically through IMIP, but also economically throughout the world; such risks cannot be justified while alternatives exist and while safeguards are still able to be implemented.</w:t>
      </w:r>
    </w:p>
    <w:p w:rsidR="00000000" w:rsidDel="00000000" w:rsidP="00000000" w:rsidRDefault="00000000" w:rsidRPr="00000000" w14:paraId="000000D8">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1"/>
        <w:pBdr>
          <w:bottom w:color="1b3a5c" w:space="4" w:sz="6" w:val="single"/>
        </w:pBdr>
        <w:spacing w:after="200" w:before="300" w:lineRule="auto"/>
        <w:rPr/>
      </w:pPr>
      <w:r w:rsidDel="00000000" w:rsidR="00000000" w:rsidRPr="00000000">
        <w:rPr>
          <w:rFonts w:ascii="Times New Roman" w:cs="Times New Roman" w:eastAsia="Times New Roman" w:hAnsi="Times New Roman"/>
          <w:b w:val="1"/>
          <w:bCs w:val="1"/>
          <w:color w:val="000000"/>
          <w:sz w:val="32"/>
          <w:szCs w:val="32"/>
          <w:rtl w:val="0"/>
        </w:rPr>
        <w:t xml:space="preserve">Notes &amp; References</w:t>
      </w:r>
      <w:r w:rsidDel="00000000" w:rsidR="00000000" w:rsidRPr="00000000">
        <w:rPr>
          <w:rtl w:val="0"/>
        </w:rPr>
      </w:r>
    </w:p>
    <w:p w:rsidR="00000000" w:rsidDel="00000000" w:rsidP="00000000" w:rsidRDefault="00000000" w:rsidRPr="00000000" w14:paraId="000000DA">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Notes — The Clarion-Clipperton Convergence</w:t>
      </w:r>
      <w:r w:rsidDel="00000000" w:rsidR="00000000" w:rsidRPr="00000000">
        <w:rPr>
          <w:rtl w:val="0"/>
        </w:rPr>
      </w:r>
    </w:p>
    <w:p w:rsidR="00000000" w:rsidDel="00000000" w:rsidP="00000000" w:rsidRDefault="00000000" w:rsidRPr="00000000" w14:paraId="000000DB">
      <w:pPr>
        <w:spacing w:after="160" w:line="276" w:lineRule="auto"/>
        <w:jc w:val="both"/>
        <w:rPr/>
      </w:pPr>
      <w:r w:rsidDel="00000000" w:rsidR="00000000" w:rsidRPr="00000000">
        <w:rPr>
          <w:sz w:val="22"/>
          <w:szCs w:val="22"/>
          <w:rtl w:val="0"/>
        </w:rPr>
        <w:t xml:space="preserve">1. International Energy Agency, "With New Export Controls on Critical Minerals, Supply Concentration Risks Become Reality," October 23, 2025, https://www.iea.org/commentaries/with-new-export-controls-on-critical-minerals-supply-concentration-risks-become-reality.</w:t>
      </w:r>
      <w:r w:rsidDel="00000000" w:rsidR="00000000" w:rsidRPr="00000000">
        <w:rPr>
          <w:rtl w:val="0"/>
        </w:rPr>
      </w:r>
    </w:p>
    <w:p w:rsidR="00000000" w:rsidDel="00000000" w:rsidP="00000000" w:rsidRDefault="00000000" w:rsidRPr="00000000" w14:paraId="000000DC">
      <w:pPr>
        <w:spacing w:after="160" w:line="276" w:lineRule="auto"/>
        <w:jc w:val="both"/>
        <w:rPr/>
      </w:pPr>
      <w:r w:rsidDel="00000000" w:rsidR="00000000" w:rsidRPr="00000000">
        <w:rPr>
          <w:sz w:val="22"/>
          <w:szCs w:val="22"/>
          <w:rtl w:val="0"/>
        </w:rPr>
        <w:t xml:space="preserve">2. Alibaba.com, "Neodymium Permanent Magnets" [product listings], accessed July 2026, https://www.alibaba.com.</w:t>
      </w:r>
      <w:r w:rsidDel="00000000" w:rsidR="00000000" w:rsidRPr="00000000">
        <w:rPr>
          <w:rtl w:val="0"/>
        </w:rPr>
      </w:r>
    </w:p>
    <w:p w:rsidR="00000000" w:rsidDel="00000000" w:rsidP="00000000" w:rsidRDefault="00000000" w:rsidRPr="00000000" w14:paraId="000000DD">
      <w:pPr>
        <w:spacing w:after="160" w:line="276" w:lineRule="auto"/>
        <w:jc w:val="both"/>
        <w:rPr/>
      </w:pPr>
      <w:r w:rsidDel="00000000" w:rsidR="00000000" w:rsidRPr="00000000">
        <w:rPr>
          <w:sz w:val="22"/>
          <w:szCs w:val="22"/>
          <w:rtl w:val="0"/>
        </w:rPr>
        <w:t xml:space="preserve">3. International Energy Agency, "With New Export Controls on Critical Minerals," October 23, 2025.</w:t>
      </w:r>
      <w:r w:rsidDel="00000000" w:rsidR="00000000" w:rsidRPr="00000000">
        <w:rPr>
          <w:rtl w:val="0"/>
        </w:rPr>
      </w:r>
    </w:p>
    <w:p w:rsidR="00000000" w:rsidDel="00000000" w:rsidP="00000000" w:rsidRDefault="00000000" w:rsidRPr="00000000" w14:paraId="000000DE">
      <w:pPr>
        <w:spacing w:after="160" w:line="276" w:lineRule="auto"/>
        <w:jc w:val="both"/>
        <w:rPr/>
      </w:pPr>
      <w:r w:rsidDel="00000000" w:rsidR="00000000" w:rsidRPr="00000000">
        <w:rPr>
          <w:sz w:val="22"/>
          <w:szCs w:val="22"/>
          <w:rtl w:val="0"/>
        </w:rPr>
        <w:t xml:space="preserve">4. International Energy Agency, "With New Export Controls on Critical Minerals, Supply Concentration Risks Become Reality," October 23, 2025, https://www.iea.org/commentaries/with-new-export-controls-on-critical-minerals-supply-concentration-risks-become-reality.</w:t>
      </w:r>
      <w:r w:rsidDel="00000000" w:rsidR="00000000" w:rsidRPr="00000000">
        <w:rPr>
          <w:rtl w:val="0"/>
        </w:rPr>
      </w:r>
    </w:p>
    <w:p w:rsidR="00000000" w:rsidDel="00000000" w:rsidP="00000000" w:rsidRDefault="00000000" w:rsidRPr="00000000" w14:paraId="000000DF">
      <w:pPr>
        <w:spacing w:after="160" w:line="276" w:lineRule="auto"/>
        <w:jc w:val="both"/>
        <w:rPr/>
      </w:pPr>
      <w:r w:rsidDel="00000000" w:rsidR="00000000" w:rsidRPr="00000000">
        <w:rPr>
          <w:sz w:val="22"/>
          <w:szCs w:val="22"/>
          <w:rtl w:val="0"/>
        </w:rPr>
        <w:t xml:space="preserve">5. V. Seiler, "China-to-FOB Price Transmission in the Rare Earth Elements Market and the End of Chinese Export Restrictions," Energy Economics 102 (2021): 105520, https://doi.org/10.1016/j.eneco.2021.105520.</w:t>
      </w:r>
      <w:r w:rsidDel="00000000" w:rsidR="00000000" w:rsidRPr="00000000">
        <w:rPr>
          <w:rtl w:val="0"/>
        </w:rPr>
      </w:r>
    </w:p>
    <w:p w:rsidR="00000000" w:rsidDel="00000000" w:rsidP="00000000" w:rsidRDefault="00000000" w:rsidRPr="00000000" w14:paraId="000000E0">
      <w:pPr>
        <w:spacing w:after="160" w:line="276" w:lineRule="auto"/>
        <w:jc w:val="both"/>
        <w:rPr/>
      </w:pPr>
      <w:r w:rsidDel="00000000" w:rsidR="00000000" w:rsidRPr="00000000">
        <w:rPr>
          <w:sz w:val="22"/>
          <w:szCs w:val="22"/>
          <w:rtl w:val="0"/>
        </w:rPr>
        <w:t xml:space="preserve">6. Author's comparison of matched listings, Alibaba.com and 1688.com, July 2026.</w:t>
      </w:r>
      <w:r w:rsidDel="00000000" w:rsidR="00000000" w:rsidRPr="00000000">
        <w:rPr>
          <w:rtl w:val="0"/>
        </w:rPr>
      </w:r>
    </w:p>
    <w:p w:rsidR="00000000" w:rsidDel="00000000" w:rsidP="00000000" w:rsidRDefault="00000000" w:rsidRPr="00000000" w14:paraId="000000E1">
      <w:pPr>
        <w:spacing w:after="160" w:line="276" w:lineRule="auto"/>
        <w:jc w:val="both"/>
        <w:rPr/>
      </w:pPr>
      <w:r w:rsidDel="00000000" w:rsidR="00000000" w:rsidRPr="00000000">
        <w:rPr>
          <w:sz w:val="22"/>
          <w:szCs w:val="22"/>
          <w:rtl w:val="0"/>
        </w:rPr>
        <w:t xml:space="preserve">7. Gracelin Baskaran and Meredith Schwartz, "The Consequences of China's New Rare Earths Export Restrictions," Center for Strategic and International Studies, April 14, 2025.</w:t>
      </w:r>
      <w:r w:rsidDel="00000000" w:rsidR="00000000" w:rsidRPr="00000000">
        <w:rPr>
          <w:rtl w:val="0"/>
        </w:rPr>
      </w:r>
    </w:p>
    <w:p w:rsidR="00000000" w:rsidDel="00000000" w:rsidP="00000000" w:rsidRDefault="00000000" w:rsidRPr="00000000" w14:paraId="000000E2">
      <w:pPr>
        <w:spacing w:after="160" w:line="276" w:lineRule="auto"/>
        <w:jc w:val="both"/>
        <w:rPr/>
      </w:pPr>
      <w:r w:rsidDel="00000000" w:rsidR="00000000" w:rsidRPr="00000000">
        <w:rPr>
          <w:sz w:val="22"/>
          <w:szCs w:val="22"/>
          <w:rtl w:val="0"/>
        </w:rPr>
        <w:t xml:space="preserve">8. Gracelin Baskaran and Meredith Schwartz, "Trump Strikes a Deal to Restore Rare Earths Access," Center for Strategic and International Studies, June 11, 2025.</w:t>
      </w:r>
      <w:r w:rsidDel="00000000" w:rsidR="00000000" w:rsidRPr="00000000">
        <w:rPr>
          <w:rtl w:val="0"/>
        </w:rPr>
      </w:r>
    </w:p>
    <w:p w:rsidR="00000000" w:rsidDel="00000000" w:rsidP="00000000" w:rsidRDefault="00000000" w:rsidRPr="00000000" w14:paraId="000000E3">
      <w:pPr>
        <w:spacing w:after="160" w:line="276" w:lineRule="auto"/>
        <w:jc w:val="both"/>
        <w:rPr/>
      </w:pPr>
      <w:r w:rsidDel="00000000" w:rsidR="00000000" w:rsidRPr="00000000">
        <w:rPr>
          <w:sz w:val="22"/>
          <w:szCs w:val="22"/>
          <w:rtl w:val="0"/>
        </w:rPr>
        <w:t xml:space="preserve">9. The White House, "Unleashing America's Offshore Critical Minerals and Resources," Executive Order 14285, April 24, 2025, https://www.whitehouse.gov/presidential-actions/2025/04/unleashing-americas-offshore-critical-minerals-and-resources/.</w:t>
      </w:r>
      <w:r w:rsidDel="00000000" w:rsidR="00000000" w:rsidRPr="00000000">
        <w:rPr>
          <w:rtl w:val="0"/>
        </w:rPr>
      </w:r>
    </w:p>
    <w:p w:rsidR="00000000" w:rsidDel="00000000" w:rsidP="00000000" w:rsidRDefault="00000000" w:rsidRPr="00000000" w14:paraId="000000E4">
      <w:pPr>
        <w:spacing w:after="160" w:line="276" w:lineRule="auto"/>
        <w:jc w:val="both"/>
        <w:rPr/>
      </w:pPr>
      <w:r w:rsidDel="00000000" w:rsidR="00000000" w:rsidRPr="00000000">
        <w:rPr>
          <w:sz w:val="22"/>
          <w:szCs w:val="22"/>
          <w:rtl w:val="0"/>
        </w:rPr>
        <w:t xml:space="preserve">10. Gracelin Baskaran and Meredith Schwartz, "Trump's Deep-Sea Mining Executive Order: The Race for Critical Minerals Enters Uncharted Waters," Center for Strategic and International Studies, April 25, 2025; Bruno Arpi and Donald R. Rothwell, "Critical Minerals: The US Bid to Bypass International Rules on Deep Sea Mining," The Interpreter, Lowy Institute, October 24, 2025.</w:t>
      </w:r>
      <w:r w:rsidDel="00000000" w:rsidR="00000000" w:rsidRPr="00000000">
        <w:rPr>
          <w:rtl w:val="0"/>
        </w:rPr>
      </w:r>
    </w:p>
    <w:p w:rsidR="00000000" w:rsidDel="00000000" w:rsidP="00000000" w:rsidRDefault="00000000" w:rsidRPr="00000000" w14:paraId="000000E5">
      <w:pPr>
        <w:spacing w:after="160" w:line="276" w:lineRule="auto"/>
        <w:jc w:val="both"/>
        <w:rPr/>
      </w:pPr>
      <w:r w:rsidDel="00000000" w:rsidR="00000000" w:rsidRPr="00000000">
        <w:rPr>
          <w:sz w:val="22"/>
          <w:szCs w:val="22"/>
          <w:rtl w:val="0"/>
        </w:rPr>
        <w:t xml:space="preserve">11. Permanent Mission of the People's Republic of China to the International Seabed Authority, "Amb. Wang Jinfeng, Head of China's Delegation and China's Permanent Representative to the ISA, Attended the 31st Session of the ISA Council, Part I," March 11, 2026.</w:t>
      </w:r>
      <w:r w:rsidDel="00000000" w:rsidR="00000000" w:rsidRPr="00000000">
        <w:rPr>
          <w:rtl w:val="0"/>
        </w:rPr>
      </w:r>
    </w:p>
    <w:p w:rsidR="00000000" w:rsidDel="00000000" w:rsidP="00000000" w:rsidRDefault="00000000" w:rsidRPr="00000000" w14:paraId="000000E6">
      <w:pPr>
        <w:spacing w:after="160" w:line="276" w:lineRule="auto"/>
        <w:jc w:val="both"/>
        <w:rPr/>
      </w:pPr>
      <w:r w:rsidDel="00000000" w:rsidR="00000000" w:rsidRPr="00000000">
        <w:rPr>
          <w:sz w:val="22"/>
          <w:szCs w:val="22"/>
          <w:rtl w:val="0"/>
        </w:rPr>
        <w:t xml:space="preserve">12. Isaac B. Kardon and Sarah Camacho, "Why China, Not the United States, Is Making the Rules for Deep-Sea Mining," Carnegie Endowment for International Peace, December 19, 2023.</w:t>
      </w:r>
      <w:r w:rsidDel="00000000" w:rsidR="00000000" w:rsidRPr="00000000">
        <w:rPr>
          <w:rtl w:val="0"/>
        </w:rPr>
      </w:r>
    </w:p>
    <w:p w:rsidR="00000000" w:rsidDel="00000000" w:rsidP="00000000" w:rsidRDefault="00000000" w:rsidRPr="00000000" w14:paraId="000000E7">
      <w:pPr>
        <w:spacing w:after="160" w:line="276" w:lineRule="auto"/>
        <w:jc w:val="both"/>
        <w:rPr/>
      </w:pPr>
      <w:r w:rsidDel="00000000" w:rsidR="00000000" w:rsidRPr="00000000">
        <w:rPr>
          <w:sz w:val="22"/>
          <w:szCs w:val="22"/>
          <w:rtl w:val="0"/>
        </w:rPr>
        <w:t xml:space="preserve">13. International Seabed Authority, "Exploration Contracts," accessed July 9, 2026, https://isa.org.jm/exploration-contracts/.</w:t>
      </w:r>
      <w:r w:rsidDel="00000000" w:rsidR="00000000" w:rsidRPr="00000000">
        <w:rPr>
          <w:rtl w:val="0"/>
        </w:rPr>
      </w:r>
    </w:p>
    <w:p w:rsidR="00000000" w:rsidDel="00000000" w:rsidP="00000000" w:rsidRDefault="00000000" w:rsidRPr="00000000" w14:paraId="000000E8">
      <w:pPr>
        <w:spacing w:after="160" w:line="276" w:lineRule="auto"/>
        <w:jc w:val="both"/>
        <w:rPr/>
      </w:pPr>
      <w:r w:rsidDel="00000000" w:rsidR="00000000" w:rsidRPr="00000000">
        <w:rPr>
          <w:sz w:val="22"/>
          <w:szCs w:val="22"/>
          <w:rtl w:val="0"/>
        </w:rPr>
        <w:t xml:space="preserve">14. International Seabed Authority, "ISA-China Joint Training and Research Centre," accessed July 10, 2026.</w:t>
      </w:r>
      <w:r w:rsidDel="00000000" w:rsidR="00000000" w:rsidRPr="00000000">
        <w:rPr>
          <w:rtl w:val="0"/>
        </w:rPr>
      </w:r>
    </w:p>
    <w:p w:rsidR="00000000" w:rsidDel="00000000" w:rsidP="00000000" w:rsidRDefault="00000000" w:rsidRPr="00000000" w14:paraId="000000E9">
      <w:pPr>
        <w:spacing w:after="160" w:line="276" w:lineRule="auto"/>
        <w:jc w:val="both"/>
        <w:rPr/>
      </w:pPr>
      <w:r w:rsidDel="00000000" w:rsidR="00000000" w:rsidRPr="00000000">
        <w:rPr>
          <w:sz w:val="22"/>
          <w:szCs w:val="22"/>
          <w:rtl w:val="0"/>
        </w:rPr>
        <w:t xml:space="preserve">15. Evelyn Goh, "Introduction," in Rising China's Influence in Developing Asia, ed. Evelyn Goh (Oxford: Oxford University Press, 2016), 1-23.</w:t>
      </w:r>
      <w:r w:rsidDel="00000000" w:rsidR="00000000" w:rsidRPr="00000000">
        <w:rPr>
          <w:rtl w:val="0"/>
        </w:rPr>
      </w:r>
    </w:p>
    <w:p w:rsidR="00000000" w:rsidDel="00000000" w:rsidP="00000000" w:rsidRDefault="00000000" w:rsidRPr="00000000" w14:paraId="000000EA">
      <w:pPr>
        <w:spacing w:after="160" w:line="276" w:lineRule="auto"/>
        <w:jc w:val="both"/>
        <w:rPr/>
      </w:pPr>
      <w:r w:rsidDel="00000000" w:rsidR="00000000" w:rsidRPr="00000000">
        <w:rPr>
          <w:sz w:val="22"/>
          <w:szCs w:val="22"/>
          <w:rtl w:val="0"/>
        </w:rPr>
        <w:t xml:space="preserve">16. Todd Woody, "In the Race to Mine the Seabed, China Takes a Hard Line," Bloomberg, July 31, 2023; Kardon and Camacho, "Why China, Not the United States, Is Making the Rules for Deep-Sea Mining."</w:t>
      </w:r>
      <w:r w:rsidDel="00000000" w:rsidR="00000000" w:rsidRPr="00000000">
        <w:rPr>
          <w:rtl w:val="0"/>
        </w:rPr>
      </w:r>
    </w:p>
    <w:p w:rsidR="00000000" w:rsidDel="00000000" w:rsidP="00000000" w:rsidRDefault="00000000" w:rsidRPr="00000000" w14:paraId="000000EB">
      <w:pPr>
        <w:spacing w:after="160" w:line="276" w:lineRule="auto"/>
        <w:jc w:val="both"/>
        <w:rPr/>
      </w:pPr>
      <w:r w:rsidDel="00000000" w:rsidR="00000000" w:rsidRPr="00000000">
        <w:rPr>
          <w:sz w:val="22"/>
          <w:szCs w:val="22"/>
          <w:rtl w:val="0"/>
        </w:rPr>
        <w:t xml:space="preserve">17. Zenghui Liu et al., "Deep-Sea Rock Mechanics and Mining Technology: State of the Art and Perspectives," International Journal of Mining Science and Technology 34, no. 1 (2024): 1-17; Shanshan Fu et al., "Economic Analysis of Shipping Route Planning in Deep-Sea Mining Operations under Uncertain Shipping Market," Regional Studies in Marine Science 80 (2024): 103872.</w:t>
      </w:r>
      <w:r w:rsidDel="00000000" w:rsidR="00000000" w:rsidRPr="00000000">
        <w:rPr>
          <w:rtl w:val="0"/>
        </w:rPr>
      </w:r>
    </w:p>
    <w:p w:rsidR="00000000" w:rsidDel="00000000" w:rsidP="00000000" w:rsidRDefault="00000000" w:rsidRPr="00000000" w14:paraId="000000EC">
      <w:pPr>
        <w:spacing w:after="160" w:line="276" w:lineRule="auto"/>
        <w:jc w:val="both"/>
        <w:rPr/>
      </w:pPr>
      <w:r w:rsidDel="00000000" w:rsidR="00000000" w:rsidRPr="00000000">
        <w:rPr>
          <w:sz w:val="22"/>
          <w:szCs w:val="22"/>
          <w:rtl w:val="0"/>
        </w:rPr>
        <w:t xml:space="preserve">18. Richard Scott, "China-Owned Fleet's Powerful Expansion," Hellenic Shipping News Worldwide, November 19, 2025.</w:t>
      </w:r>
      <w:r w:rsidDel="00000000" w:rsidR="00000000" w:rsidRPr="00000000">
        <w:rPr>
          <w:rtl w:val="0"/>
        </w:rPr>
      </w:r>
    </w:p>
    <w:p w:rsidR="00000000" w:rsidDel="00000000" w:rsidP="00000000" w:rsidRDefault="00000000" w:rsidRPr="00000000" w14:paraId="000000ED">
      <w:pPr>
        <w:spacing w:after="160" w:line="276" w:lineRule="auto"/>
        <w:jc w:val="both"/>
        <w:rPr/>
      </w:pPr>
      <w:r w:rsidDel="00000000" w:rsidR="00000000" w:rsidRPr="00000000">
        <w:rPr>
          <w:sz w:val="22"/>
          <w:szCs w:val="22"/>
          <w:rtl w:val="0"/>
        </w:rPr>
        <w:t xml:space="preserve">19. Randolph Kirchain et al., Report to the International Seabed Authority on the Development of an Economic Model and System of Payments for the Exploitation of Polymetallic Nodules in the Area (MIT Materials Systems Laboratory, 2019).</w:t>
      </w:r>
      <w:r w:rsidDel="00000000" w:rsidR="00000000" w:rsidRPr="00000000">
        <w:rPr>
          <w:rtl w:val="0"/>
        </w:rPr>
      </w:r>
    </w:p>
    <w:p w:rsidR="00000000" w:rsidDel="00000000" w:rsidP="00000000" w:rsidRDefault="00000000" w:rsidRPr="00000000" w14:paraId="000000EE">
      <w:pPr>
        <w:spacing w:after="160" w:line="276" w:lineRule="auto"/>
        <w:jc w:val="both"/>
        <w:rPr/>
      </w:pPr>
      <w:r w:rsidDel="00000000" w:rsidR="00000000" w:rsidRPr="00000000">
        <w:rPr>
          <w:sz w:val="22"/>
          <w:szCs w:val="22"/>
          <w:rtl w:val="0"/>
        </w:rPr>
        <w:t xml:space="preserve">20. The Metals Company, "World First: TMC and PAMCO Achieve New Nodule Processing Milestone," Investor Relations, February 18, 2025.</w:t>
      </w:r>
      <w:r w:rsidDel="00000000" w:rsidR="00000000" w:rsidRPr="00000000">
        <w:rPr>
          <w:rtl w:val="0"/>
        </w:rPr>
      </w:r>
    </w:p>
    <w:p w:rsidR="00000000" w:rsidDel="00000000" w:rsidP="00000000" w:rsidRDefault="00000000" w:rsidRPr="00000000" w14:paraId="000000EF">
      <w:pPr>
        <w:spacing w:after="160" w:line="276" w:lineRule="auto"/>
        <w:jc w:val="both"/>
        <w:rPr/>
      </w:pPr>
      <w:r w:rsidDel="00000000" w:rsidR="00000000" w:rsidRPr="00000000">
        <w:rPr>
          <w:sz w:val="22"/>
          <w:szCs w:val="22"/>
          <w:rtl w:val="0"/>
        </w:rPr>
        <w:t xml:space="preserve">21. Tom LaTourrette et al., The Potential Impact of Seabed Mining on Critical Mineral Supply Chains and Global Geopolitics (RAND Corporation, 2025), 10.</w:t>
      </w:r>
      <w:r w:rsidDel="00000000" w:rsidR="00000000" w:rsidRPr="00000000">
        <w:rPr>
          <w:rtl w:val="0"/>
        </w:rPr>
      </w:r>
    </w:p>
    <w:p w:rsidR="00000000" w:rsidDel="00000000" w:rsidP="00000000" w:rsidRDefault="00000000" w:rsidRPr="00000000" w14:paraId="000000F0">
      <w:pPr>
        <w:spacing w:after="160" w:line="276" w:lineRule="auto"/>
        <w:jc w:val="both"/>
        <w:rPr/>
      </w:pPr>
      <w:r w:rsidDel="00000000" w:rsidR="00000000" w:rsidRPr="00000000">
        <w:rPr>
          <w:sz w:val="22"/>
          <w:szCs w:val="22"/>
          <w:rtl w:val="0"/>
        </w:rPr>
        <w:t xml:space="preserve">22. International Energy Agency, Global Critical Minerals Outlook 2025 (Paris: IEA, 2025), 30-31.</w:t>
      </w:r>
      <w:r w:rsidDel="00000000" w:rsidR="00000000" w:rsidRPr="00000000">
        <w:rPr>
          <w:rtl w:val="0"/>
        </w:rPr>
      </w:r>
    </w:p>
    <w:p w:rsidR="00000000" w:rsidDel="00000000" w:rsidP="00000000" w:rsidRDefault="00000000" w:rsidRPr="00000000" w14:paraId="000000F1">
      <w:pPr>
        <w:spacing w:after="160" w:line="276" w:lineRule="auto"/>
        <w:jc w:val="both"/>
        <w:rPr/>
      </w:pPr>
      <w:r w:rsidDel="00000000" w:rsidR="00000000" w:rsidRPr="00000000">
        <w:rPr>
          <w:sz w:val="22"/>
          <w:szCs w:val="22"/>
          <w:rtl w:val="0"/>
        </w:rPr>
        <w:t xml:space="preserve">23. LaTourrette et al., The Potential Impact of Seabed Mining on Critical Mineral Supply Chains and Global Geopolitics, 10.</w:t>
      </w:r>
      <w:r w:rsidDel="00000000" w:rsidR="00000000" w:rsidRPr="00000000">
        <w:rPr>
          <w:rtl w:val="0"/>
        </w:rPr>
      </w:r>
    </w:p>
    <w:p w:rsidR="00000000" w:rsidDel="00000000" w:rsidP="00000000" w:rsidRDefault="00000000" w:rsidRPr="00000000" w14:paraId="000000F2">
      <w:pPr>
        <w:spacing w:after="160" w:line="276" w:lineRule="auto"/>
        <w:jc w:val="both"/>
        <w:rPr/>
      </w:pPr>
      <w:r w:rsidDel="00000000" w:rsidR="00000000" w:rsidRPr="00000000">
        <w:rPr>
          <w:sz w:val="22"/>
          <w:szCs w:val="22"/>
          <w:rtl w:val="0"/>
        </w:rPr>
        <w:t xml:space="preserve">24. LaTourrette et al., The Potential Impact of Seabed Mining on Critical Mineral Supply Chains and Global Geopolitics, 10.</w:t>
      </w:r>
      <w:r w:rsidDel="00000000" w:rsidR="00000000" w:rsidRPr="00000000">
        <w:rPr>
          <w:rtl w:val="0"/>
        </w:rPr>
      </w:r>
    </w:p>
    <w:p w:rsidR="00000000" w:rsidDel="00000000" w:rsidP="00000000" w:rsidRDefault="00000000" w:rsidRPr="00000000" w14:paraId="000000F3">
      <w:pPr>
        <w:spacing w:after="160" w:line="276" w:lineRule="auto"/>
        <w:jc w:val="both"/>
        <w:rPr/>
      </w:pPr>
      <w:r w:rsidDel="00000000" w:rsidR="00000000" w:rsidRPr="00000000">
        <w:rPr>
          <w:sz w:val="22"/>
          <w:szCs w:val="22"/>
          <w:rtl w:val="0"/>
        </w:rPr>
        <w:t xml:space="preserve">25. Kirchain et al., Report to the International Seabed Authority, 5-6.</w:t>
      </w:r>
      <w:r w:rsidDel="00000000" w:rsidR="00000000" w:rsidRPr="00000000">
        <w:rPr>
          <w:rtl w:val="0"/>
        </w:rPr>
      </w:r>
    </w:p>
    <w:p w:rsidR="00000000" w:rsidDel="00000000" w:rsidP="00000000" w:rsidRDefault="00000000" w:rsidRPr="00000000" w14:paraId="000000F4">
      <w:pPr>
        <w:spacing w:after="160" w:line="276" w:lineRule="auto"/>
        <w:jc w:val="both"/>
        <w:rPr>
          <w:sz w:val="22"/>
          <w:szCs w:val="22"/>
        </w:rPr>
      </w:pPr>
      <w:r w:rsidDel="00000000" w:rsidR="00000000" w:rsidRPr="00000000">
        <w:rPr>
          <w:sz w:val="22"/>
          <w:szCs w:val="22"/>
          <w:rtl w:val="0"/>
        </w:rPr>
        <w:t xml:space="preserve">26. Baskaran and Schwartz, "Trump's Deep-Sea Mining Executive Order."</w:t>
      </w:r>
      <w:r w:rsidDel="00000000" w:rsidR="00000000" w:rsidRPr="00000000">
        <w:br w:type="page"/>
      </w:r>
      <w:r w:rsidDel="00000000" w:rsidR="00000000" w:rsidRPr="00000000">
        <w:rPr>
          <w:rtl w:val="0"/>
        </w:rPr>
      </w:r>
    </w:p>
    <w:p w:rsidR="00000000" w:rsidDel="00000000" w:rsidP="00000000" w:rsidRDefault="00000000" w:rsidRPr="00000000" w14:paraId="000000F5">
      <w:pPr>
        <w:spacing w:after="160" w:line="276" w:lineRule="auto"/>
        <w:jc w:val="both"/>
        <w:rPr/>
      </w:pPr>
      <w:r w:rsidDel="00000000" w:rsidR="00000000" w:rsidRPr="00000000">
        <w:rPr>
          <w:rtl w:val="0"/>
        </w:rPr>
      </w:r>
    </w:p>
    <w:p w:rsidR="00000000" w:rsidDel="00000000" w:rsidP="00000000" w:rsidRDefault="00000000" w:rsidRPr="00000000" w14:paraId="000000F6">
      <w:pPr>
        <w:pStyle w:val="Heading2"/>
        <w:spacing w:after="120" w:befor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Notes — Dual Circulation: A Strategic and Economic Angle</w:t>
      </w:r>
    </w:p>
    <w:p w:rsidR="00000000" w:rsidDel="00000000" w:rsidP="00000000" w:rsidRDefault="00000000" w:rsidRPr="00000000" w14:paraId="000000F7">
      <w:pPr>
        <w:spacing w:line="360" w:lineRule="auto"/>
        <w:ind w:left="0" w:firstLine="0"/>
        <w:rPr/>
      </w:pPr>
      <w:r w:rsidDel="00000000" w:rsidR="00000000" w:rsidRPr="00000000">
        <w:rPr>
          <w:rtl w:val="0"/>
        </w:rPr>
        <w:t xml:space="preserve">1. Lin, J. Y., &amp; Wang, X. (2021). Dual Circulation: a New Structural Economics view of development. </w:t>
      </w:r>
      <w:r w:rsidDel="00000000" w:rsidR="00000000" w:rsidRPr="00000000">
        <w:rPr>
          <w:i w:val="1"/>
          <w:iCs w:val="1"/>
          <w:rtl w:val="0"/>
        </w:rPr>
        <w:t xml:space="preserve">Journal of Chinese Economic and Business Studies</w:t>
      </w:r>
      <w:r w:rsidDel="00000000" w:rsidR="00000000" w:rsidRPr="00000000">
        <w:rPr>
          <w:rtl w:val="0"/>
        </w:rPr>
        <w:t xml:space="preserve">, </w:t>
      </w:r>
      <w:r w:rsidDel="00000000" w:rsidR="00000000" w:rsidRPr="00000000">
        <w:rPr>
          <w:i w:val="1"/>
          <w:iCs w:val="1"/>
          <w:rtl w:val="0"/>
        </w:rPr>
        <w:t xml:space="preserve">20</w:t>
      </w:r>
      <w:r w:rsidDel="00000000" w:rsidR="00000000" w:rsidRPr="00000000">
        <w:rPr>
          <w:rtl w:val="0"/>
        </w:rPr>
        <w:t xml:space="preserve">(4), 303–322.</w:t>
      </w:r>
      <w:hyperlink r:id="rId9">
        <w:r w:rsidDel="00000000" w:rsidR="00000000" w:rsidRPr="00000000">
          <w:rPr>
            <w:rtl w:val="0"/>
          </w:rPr>
          <w:t xml:space="preserve"> </w:t>
        </w:r>
      </w:hyperlink>
      <w:hyperlink r:id="rId10">
        <w:r w:rsidDel="00000000" w:rsidR="00000000" w:rsidRPr="00000000">
          <w:rPr>
            <w:color w:val="1155cc"/>
            <w:u w:val="single"/>
            <w:rtl w:val="0"/>
          </w:rPr>
          <w:t xml:space="preserve">https://doi.org/10.1080/14765284.2021.1929793</w:t>
        </w:r>
      </w:hyperlink>
      <w:r w:rsidDel="00000000" w:rsidR="00000000" w:rsidRPr="00000000">
        <w:rPr>
          <w:rtl w:val="0"/>
        </w:rPr>
      </w:r>
    </w:p>
    <w:p w:rsidR="00000000" w:rsidDel="00000000" w:rsidP="00000000" w:rsidRDefault="00000000" w:rsidRPr="00000000" w14:paraId="000000F8">
      <w:pPr>
        <w:spacing w:line="360" w:lineRule="auto"/>
        <w:ind w:left="0" w:firstLine="0"/>
        <w:rPr/>
      </w:pPr>
      <w:r w:rsidDel="00000000" w:rsidR="00000000" w:rsidRPr="00000000">
        <w:rPr>
          <w:rtl w:val="0"/>
        </w:rPr>
        <w:t xml:space="preserve">2. Binkovitz, L., &amp; Bowe, A. (2022). </w:t>
      </w:r>
      <w:r w:rsidDel="00000000" w:rsidR="00000000" w:rsidRPr="00000000">
        <w:rPr>
          <w:i w:val="1"/>
          <w:iCs w:val="1"/>
          <w:rtl w:val="0"/>
        </w:rPr>
        <w:t xml:space="preserve">China's Strategy to Overcome Technological Chokepoints and the Role of Civil-Military Fusion</w:t>
      </w:r>
      <w:r w:rsidDel="00000000" w:rsidR="00000000" w:rsidRPr="00000000">
        <w:rPr>
          <w:rtl w:val="0"/>
        </w:rPr>
        <w:t xml:space="preserve">. U.S.-China Economic and Security Review Commission (USCC) Issue Brief.</w:t>
      </w:r>
    </w:p>
    <w:p w:rsidR="00000000" w:rsidDel="00000000" w:rsidP="00000000" w:rsidRDefault="00000000" w:rsidRPr="00000000" w14:paraId="000000F9">
      <w:pPr>
        <w:spacing w:line="360" w:lineRule="auto"/>
        <w:ind w:left="0" w:firstLine="0"/>
        <w:rPr>
          <w:sz w:val="22"/>
          <w:szCs w:val="22"/>
        </w:rPr>
      </w:pPr>
      <w:r w:rsidDel="00000000" w:rsidR="00000000" w:rsidRPr="00000000">
        <w:rPr>
          <w:rtl w:val="0"/>
        </w:rPr>
        <w:t xml:space="preserve">3</w:t>
      </w:r>
      <w:r w:rsidDel="00000000" w:rsidR="00000000" w:rsidRPr="00000000">
        <w:rPr>
          <w:sz w:val="22"/>
          <w:szCs w:val="22"/>
          <w:rtl w:val="0"/>
        </w:rPr>
        <w:t xml:space="preserve">. Dang Hoang Linh and Nguyen Lan Phuong, "China's 'Dual Circulation' Strategy: Urgent Needs for Greater Economic Self-Reliance," International Journal of China Studies 13, no. 2 (December 2022): 216–217, https://ejournal.um.edu.my/index.php/IJCS/article/download/45500/15977/117153. The article dates the statement to the Politburo Standing Committee meeting of May 14, 2020, chaired by Xi Jinping.</w:t>
      </w:r>
    </w:p>
    <w:p w:rsidR="00000000" w:rsidDel="00000000" w:rsidP="00000000" w:rsidRDefault="00000000" w:rsidRPr="00000000" w14:paraId="000000FA">
      <w:pPr>
        <w:spacing w:line="360" w:lineRule="auto"/>
        <w:ind w:left="0" w:firstLine="0"/>
        <w:rPr/>
      </w:pPr>
      <w:r w:rsidDel="00000000" w:rsidR="00000000" w:rsidRPr="00000000">
        <w:rPr>
          <w:rtl w:val="0"/>
        </w:rPr>
        <w:t xml:space="preserve">4. RAND Corporation (2026). </w:t>
      </w:r>
      <w:r w:rsidDel="00000000" w:rsidR="00000000" w:rsidRPr="00000000">
        <w:rPr>
          <w:i w:val="1"/>
          <w:iCs w:val="1"/>
          <w:rtl w:val="0"/>
        </w:rPr>
        <w:t xml:space="preserve">China’s Techno-Industrial Strategy in the Xi Era: Producing Under Pressure</w:t>
      </w:r>
      <w:r w:rsidDel="00000000" w:rsidR="00000000" w:rsidRPr="00000000">
        <w:rPr>
          <w:rtl w:val="0"/>
        </w:rPr>
        <w:t xml:space="preserve"> (Research Report RRA4012-1). RAND Corporation.</w:t>
      </w:r>
    </w:p>
    <w:p w:rsidR="00000000" w:rsidDel="00000000" w:rsidP="00000000" w:rsidRDefault="00000000" w:rsidRPr="00000000" w14:paraId="000000FB">
      <w:pPr>
        <w:spacing w:line="360" w:lineRule="auto"/>
        <w:ind w:left="0" w:firstLine="0"/>
        <w:rPr/>
      </w:pPr>
      <w:r w:rsidDel="00000000" w:rsidR="00000000" w:rsidRPr="00000000">
        <w:rPr>
          <w:rtl w:val="0"/>
        </w:rPr>
        <w:t xml:space="preserve">5. Cheung, T. M. (2023). </w:t>
      </w:r>
      <w:r w:rsidDel="00000000" w:rsidR="00000000" w:rsidRPr="00000000">
        <w:rPr>
          <w:i w:val="1"/>
          <w:iCs w:val="1"/>
          <w:rtl w:val="0"/>
        </w:rPr>
        <w:t xml:space="preserve">National Strategic Integration: How China is Building Its Strategic Power</w:t>
      </w:r>
      <w:r w:rsidDel="00000000" w:rsidR="00000000" w:rsidRPr="00000000">
        <w:rPr>
          <w:rtl w:val="0"/>
        </w:rPr>
        <w:t xml:space="preserve">. UC Institute on Global Conflict and Cooperation (IGCC) &amp; MERICS Policy Brief. </w:t>
      </w:r>
    </w:p>
    <w:p w:rsidR="00000000" w:rsidDel="00000000" w:rsidP="00000000" w:rsidRDefault="00000000" w:rsidRPr="00000000" w14:paraId="000000FC">
      <w:pPr>
        <w:spacing w:line="360" w:lineRule="auto"/>
        <w:ind w:left="0" w:firstLine="0"/>
        <w:rPr>
          <w:i w:val="1"/>
          <w:iCs w:val="1"/>
        </w:rPr>
      </w:pPr>
      <w:r w:rsidDel="00000000" w:rsidR="00000000" w:rsidRPr="00000000">
        <w:rPr>
          <w:rtl w:val="0"/>
        </w:rPr>
        <w:t xml:space="preserve">6. Lin, J. Y., &amp; Wang, X. (2021). Dual Circulation: A New Structural Economics view of development. </w:t>
      </w:r>
      <w:r w:rsidDel="00000000" w:rsidR="00000000" w:rsidRPr="00000000">
        <w:rPr>
          <w:i w:val="1"/>
          <w:iCs w:val="1"/>
          <w:rtl w:val="0"/>
        </w:rPr>
        <w:t xml:space="preserve">Journal of Chinese Economic and Business Studies</w:t>
      </w:r>
      <w:r w:rsidDel="00000000" w:rsidR="00000000" w:rsidRPr="00000000">
        <w:rPr>
          <w:rtl w:val="0"/>
        </w:rPr>
        <w:t xml:space="preserve">, 20(4), 303–322 </w:t>
      </w:r>
      <w:r w:rsidDel="00000000" w:rsidR="00000000" w:rsidRPr="00000000">
        <w:rPr>
          <w:i w:val="1"/>
          <w:iCs w:val="1"/>
          <w:rtl w:val="0"/>
        </w:rPr>
        <w:t xml:space="preserve">(See also: Official CCP commentary in Qiushi, 2020)</w:t>
      </w:r>
    </w:p>
    <w:p w:rsidR="00000000" w:rsidDel="00000000" w:rsidP="00000000" w:rsidRDefault="00000000" w:rsidRPr="00000000" w14:paraId="000000FD">
      <w:pPr>
        <w:spacing w:line="360" w:lineRule="auto"/>
        <w:rPr>
          <w:i w:val="1"/>
          <w:iCs w:val="1"/>
        </w:rPr>
      </w:pPr>
      <w:r w:rsidDel="00000000" w:rsidR="00000000" w:rsidRPr="00000000">
        <w:rPr>
          <w:rtl w:val="0"/>
        </w:rPr>
        <w:t xml:space="preserve">7. Center for Security and Emerging Technology (CSET) / U.S. National Security Analysis: Barbe, Andre, and Will Hunt. </w:t>
      </w:r>
      <w:r w:rsidDel="00000000" w:rsidR="00000000" w:rsidRPr="00000000">
        <w:rPr>
          <w:i w:val="1"/>
          <w:iCs w:val="1"/>
          <w:rtl w:val="0"/>
        </w:rPr>
        <w:t xml:space="preserve">"Preserving the Chokepoints: Reducing the Risks of Offshoring Among U.S. Semiconductor Manufacturing Equipment Firms."</w:t>
      </w:r>
      <w:r w:rsidDel="00000000" w:rsidR="00000000" w:rsidRPr="00000000">
        <w:rPr>
          <w:rtl w:val="0"/>
        </w:rPr>
        <w:t xml:space="preserve"> Center for Security and Emerging Technology, May 2022.</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https://doi.org/10.51593/20210045</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E">
      <w:pPr>
        <w:spacing w:line="360" w:lineRule="auto"/>
        <w:rPr>
          <w:i w:val="1"/>
          <w:iCs w:val="1"/>
        </w:rPr>
      </w:pPr>
      <w:r w:rsidDel="00000000" w:rsidR="00000000" w:rsidRPr="00000000">
        <w:rPr>
          <w:rtl w:val="0"/>
        </w:rPr>
        <w:t xml:space="preserve">8. U.S. Department of Commerce, Bureau of Industry and Security: </w:t>
      </w:r>
      <w:r w:rsidDel="00000000" w:rsidR="00000000" w:rsidRPr="00000000">
        <w:rPr>
          <w:i w:val="1"/>
          <w:iCs w:val="1"/>
          <w:rtl w:val="0"/>
        </w:rPr>
        <w:t xml:space="preserve">"Addition of Huawei Non-U.S. Affiliates to the Entity List, the Removal of Temporary General License, and Amendments to General Prohibition Three (Foreign-Produced Direct Product Rule),"</w:t>
      </w:r>
      <w:r w:rsidDel="00000000" w:rsidR="00000000" w:rsidRPr="00000000">
        <w:rPr>
          <w:rtl w:val="0"/>
        </w:rPr>
        <w:t xml:space="preserve"> Federal Register 85, no. 162 (August 20, 2020): 51596–51608.</w:t>
      </w:r>
      <w:hyperlink r:id="rId13">
        <w:r w:rsidDel="00000000" w:rsidR="00000000" w:rsidRPr="00000000">
          <w:rPr>
            <w:rtl w:val="0"/>
          </w:rPr>
          <w:t xml:space="preserve"> </w:t>
        </w:r>
      </w:hyperlink>
      <w:hyperlink r:id="rId14">
        <w:r w:rsidDel="00000000" w:rsidR="00000000" w:rsidRPr="00000000">
          <w:rPr>
            <w:color w:val="1155cc"/>
            <w:u w:val="single"/>
            <w:rtl w:val="0"/>
          </w:rPr>
          <w:t xml:space="preserve">https://www.federalregister.gov/documents/2020/08/20/2020-18213</w:t>
        </w:r>
      </w:hyperlink>
      <w:r w:rsidDel="00000000" w:rsidR="00000000" w:rsidRPr="00000000">
        <w:rPr>
          <w:rtl w:val="0"/>
        </w:rPr>
        <w:t xml:space="preserve">. </w:t>
      </w:r>
      <w:r w:rsidDel="00000000" w:rsidR="00000000" w:rsidRPr="00000000">
        <w:rPr>
          <w:i w:val="1"/>
          <w:iCs w:val="1"/>
          <w:rtl w:val="0"/>
        </w:rPr>
        <w:t xml:space="preserve">(</w:t>
      </w:r>
    </w:p>
    <w:p w:rsidR="00000000" w:rsidDel="00000000" w:rsidP="00000000" w:rsidRDefault="00000000" w:rsidRPr="00000000" w14:paraId="000000FF">
      <w:pPr>
        <w:spacing w:line="360" w:lineRule="auto"/>
        <w:rPr/>
      </w:pPr>
      <w:r w:rsidDel="00000000" w:rsidR="00000000" w:rsidRPr="00000000">
        <w:rPr>
          <w:rtl w:val="0"/>
        </w:rPr>
        <w:t xml:space="preserve">9. Cheung, Tai Ming: </w:t>
      </w:r>
      <w:r w:rsidDel="00000000" w:rsidR="00000000" w:rsidRPr="00000000">
        <w:rPr>
          <w:i w:val="1"/>
          <w:iCs w:val="1"/>
          <w:rtl w:val="0"/>
        </w:rPr>
        <w:t xml:space="preserve">"Inside China's Techno-Security State."</w:t>
      </w:r>
      <w:r w:rsidDel="00000000" w:rsidR="00000000" w:rsidRPr="00000000">
        <w:rPr>
          <w:rtl w:val="0"/>
        </w:rPr>
        <w:t xml:space="preserve"> UC Institute on Global Conflict and Cooperation (IGCC).</w:t>
      </w:r>
      <w:hyperlink r:id="rId15">
        <w:r w:rsidDel="00000000" w:rsidR="00000000" w:rsidRPr="00000000">
          <w:rPr>
            <w:rtl w:val="0"/>
          </w:rPr>
          <w:t xml:space="preserve"> </w:t>
        </w:r>
      </w:hyperlink>
      <w:hyperlink r:id="rId16">
        <w:r w:rsidDel="00000000" w:rsidR="00000000" w:rsidRPr="00000000">
          <w:rPr>
            <w:color w:val="1155cc"/>
            <w:u w:val="single"/>
            <w:rtl w:val="0"/>
          </w:rPr>
          <w:t xml:space="preserve">https://escholarship.org/uc/item/5f61c958</w:t>
        </w:r>
      </w:hyperlink>
      <w:r w:rsidDel="00000000" w:rsidR="00000000" w:rsidRPr="00000000">
        <w:rPr>
          <w:rtl w:val="0"/>
        </w:rPr>
        <w:t xml:space="preserve">. </w:t>
      </w:r>
      <w:r w:rsidDel="00000000" w:rsidR="00000000" w:rsidRPr="00000000">
        <w:rPr>
          <w:i w:val="1"/>
          <w:iCs w:val="1"/>
          <w:rtl w:val="0"/>
        </w:rPr>
        <w:t xml:space="preserve">See also:</w:t>
      </w:r>
      <w:r w:rsidDel="00000000" w:rsidR="00000000" w:rsidRPr="00000000">
        <w:rPr>
          <w:rtl w:val="0"/>
        </w:rPr>
        <w:t xml:space="preserve"> Cheung, Tai Ming. </w:t>
      </w:r>
      <w:r w:rsidDel="00000000" w:rsidR="00000000" w:rsidRPr="00000000">
        <w:rPr>
          <w:i w:val="1"/>
          <w:iCs w:val="1"/>
          <w:rtl w:val="0"/>
        </w:rPr>
        <w:t xml:space="preserve">Innovate to Dominate: The Rise of the Chinese Techno-Security State.</w:t>
      </w:r>
      <w:r w:rsidDel="00000000" w:rsidR="00000000" w:rsidRPr="00000000">
        <w:rPr>
          <w:rtl w:val="0"/>
        </w:rPr>
        <w:t xml:space="preserve"> Ithaca, NY: Cornell University Press, 2022. </w:t>
      </w:r>
    </w:p>
    <w:p w:rsidR="00000000" w:rsidDel="00000000" w:rsidP="00000000" w:rsidRDefault="00000000" w:rsidRPr="00000000" w14:paraId="00000100">
      <w:pPr>
        <w:spacing w:after="160" w:line="276" w:lineRule="auto"/>
        <w:jc w:val="both"/>
        <w:rPr/>
      </w:pPr>
      <w:r w:rsidDel="00000000" w:rsidR="00000000" w:rsidRPr="00000000">
        <w:rPr>
          <w:rtl w:val="0"/>
        </w:rPr>
        <w:t xml:space="preserve">10</w:t>
      </w:r>
      <w:r w:rsidDel="00000000" w:rsidR="00000000" w:rsidRPr="00000000">
        <w:rPr>
          <w:sz w:val="22"/>
          <w:szCs w:val="22"/>
          <w:rtl w:val="0"/>
        </w:rPr>
        <w:t xml:space="preserve">. Center for Security and Emerging Technology, "CSET Original Translation: China's 14th Five-Year Plan," Georgetown University, https://cset.georgetown.edu/publication/china-14th-five-year-plan/. Chapter 4 of the official outline, "Promoting Domestic-International Dual Circulation," centers the strategy within China's 2021–2025 economic planning.</w:t>
      </w:r>
      <w:r w:rsidDel="00000000" w:rsidR="00000000" w:rsidRPr="00000000">
        <w:rPr>
          <w:rtl w:val="0"/>
        </w:rPr>
      </w:r>
    </w:p>
    <w:p w:rsidR="00000000" w:rsidDel="00000000" w:rsidP="00000000" w:rsidRDefault="00000000" w:rsidRPr="00000000" w14:paraId="00000101">
      <w:pPr>
        <w:spacing w:after="160" w:line="276" w:lineRule="auto"/>
        <w:jc w:val="both"/>
        <w:rPr/>
      </w:pPr>
      <w:r w:rsidDel="00000000" w:rsidR="00000000" w:rsidRPr="00000000">
        <w:rPr>
          <w:rtl w:val="0"/>
        </w:rPr>
        <w:t xml:space="preserve">11</w:t>
      </w:r>
      <w:r w:rsidDel="00000000" w:rsidR="00000000" w:rsidRPr="00000000">
        <w:rPr>
          <w:sz w:val="22"/>
          <w:szCs w:val="22"/>
          <w:rtl w:val="0"/>
        </w:rPr>
        <w:t xml:space="preserve">.</w:t>
      </w:r>
      <w:r w:rsidDel="00000000" w:rsidR="00000000" w:rsidRPr="00000000">
        <w:rPr>
          <w:rtl w:val="0"/>
        </w:rPr>
        <w:t xml:space="preserve"> </w:t>
      </w:r>
      <w:r w:rsidDel="00000000" w:rsidR="00000000" w:rsidRPr="00000000">
        <w:rPr>
          <w:i w:val="1"/>
          <w:iCs w:val="1"/>
          <w:sz w:val="22"/>
          <w:szCs w:val="22"/>
          <w:rtl w:val="0"/>
        </w:rPr>
        <w:t xml:space="preserve">"Made in China 2025,"</w:t>
      </w:r>
      <w:r w:rsidDel="00000000" w:rsidR="00000000" w:rsidRPr="00000000">
        <w:rPr>
          <w:sz w:val="22"/>
          <w:szCs w:val="22"/>
          <w:rtl w:val="0"/>
        </w:rPr>
        <w:t xml:space="preserve"> Center for Strategic and International Studies, https://www.csis.org/analysis/made-china-2025.</w:t>
      </w:r>
      <w:r w:rsidDel="00000000" w:rsidR="00000000" w:rsidRPr="00000000">
        <w:rPr>
          <w:rtl w:val="0"/>
        </w:rPr>
      </w:r>
    </w:p>
    <w:p w:rsidR="00000000" w:rsidDel="00000000" w:rsidP="00000000" w:rsidRDefault="00000000" w:rsidRPr="00000000" w14:paraId="00000102">
      <w:pPr>
        <w:spacing w:after="160" w:line="276" w:lineRule="auto"/>
        <w:jc w:val="both"/>
        <w:rPr/>
      </w:pPr>
      <w:r w:rsidDel="00000000" w:rsidR="00000000" w:rsidRPr="00000000">
        <w:rPr>
          <w:rtl w:val="0"/>
        </w:rPr>
        <w:t xml:space="preserve">12</w:t>
      </w:r>
      <w:r w:rsidDel="00000000" w:rsidR="00000000" w:rsidRPr="00000000">
        <w:rPr>
          <w:sz w:val="22"/>
          <w:szCs w:val="22"/>
          <w:rtl w:val="0"/>
        </w:rPr>
        <w:t xml:space="preserve">.</w:t>
      </w:r>
      <w:r w:rsidDel="00000000" w:rsidR="00000000" w:rsidRPr="00000000">
        <w:rPr>
          <w:i w:val="1"/>
          <w:iCs w:val="1"/>
          <w:sz w:val="22"/>
          <w:szCs w:val="22"/>
          <w:rtl w:val="0"/>
        </w:rPr>
        <w:t xml:space="preserve"> "Unpacking Expanding Export Controls and Military-Civil Fusion,</w:t>
      </w:r>
      <w:r w:rsidDel="00000000" w:rsidR="00000000" w:rsidRPr="00000000">
        <w:rPr>
          <w:sz w:val="22"/>
          <w:szCs w:val="22"/>
          <w:rtl w:val="0"/>
        </w:rPr>
        <w:t xml:space="preserve">" Center for Strategic and International Studies, https://www.csis.org/analysis/unpacking-expanding-export-controls-and-military-civil-fusion. Military-Civil Fusion was elevated to a national strategy in 2014, with the Central Commission for Military-Civil Fusion Development established in January 2017 under Xi Jinping's direct chairmanship.</w:t>
      </w:r>
      <w:r w:rsidDel="00000000" w:rsidR="00000000" w:rsidRPr="00000000">
        <w:rPr>
          <w:rtl w:val="0"/>
        </w:rPr>
      </w:r>
    </w:p>
    <w:p w:rsidR="00000000" w:rsidDel="00000000" w:rsidP="00000000" w:rsidRDefault="00000000" w:rsidRPr="00000000" w14:paraId="00000103">
      <w:pPr>
        <w:spacing w:after="160" w:line="276" w:lineRule="auto"/>
        <w:jc w:val="both"/>
        <w:rPr>
          <w:sz w:val="22"/>
          <w:szCs w:val="22"/>
        </w:rPr>
      </w:pPr>
      <w:r w:rsidDel="00000000" w:rsidR="00000000" w:rsidRPr="00000000">
        <w:rPr>
          <w:rtl w:val="0"/>
        </w:rPr>
        <w:t xml:space="preserve">13</w:t>
      </w:r>
      <w:r w:rsidDel="00000000" w:rsidR="00000000" w:rsidRPr="00000000">
        <w:rPr>
          <w:sz w:val="22"/>
          <w:szCs w:val="22"/>
          <w:rtl w:val="0"/>
        </w:rPr>
        <w:t xml:space="preserve">. "Building China's 'One Belt, One Road,'" Center for Strategic and International Studies, </w:t>
      </w:r>
      <w:hyperlink r:id="rId17">
        <w:r w:rsidDel="00000000" w:rsidR="00000000" w:rsidRPr="00000000">
          <w:rPr>
            <w:color w:val="1155cc"/>
            <w:sz w:val="22"/>
            <w:szCs w:val="22"/>
            <w:u w:val="single"/>
            <w:rtl w:val="0"/>
          </w:rPr>
          <w:t xml:space="preserve">https://www.csis.org/analysis/building-chinas-one-belt-one-road</w:t>
        </w:r>
      </w:hyperlink>
      <w:r w:rsidDel="00000000" w:rsidR="00000000" w:rsidRPr="00000000">
        <w:rPr>
          <w:sz w:val="22"/>
          <w:szCs w:val="22"/>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04">
      <w:pPr>
        <w:spacing w:after="160" w:line="276" w:lineRule="auto"/>
        <w:jc w:val="both"/>
        <w:rPr/>
      </w:pPr>
      <w:r w:rsidDel="00000000" w:rsidR="00000000" w:rsidRPr="00000000">
        <w:rPr>
          <w:rtl w:val="0"/>
        </w:rPr>
      </w:r>
    </w:p>
    <w:p w:rsidR="00000000" w:rsidDel="00000000" w:rsidP="00000000" w:rsidRDefault="00000000" w:rsidRPr="00000000" w14:paraId="00000105">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Notes — Infrastructure as Leverage: Chinese AI and Its Consequences</w:t>
      </w:r>
      <w:r w:rsidDel="00000000" w:rsidR="00000000" w:rsidRPr="00000000">
        <w:rPr>
          <w:rtl w:val="0"/>
        </w:rPr>
      </w:r>
    </w:p>
    <w:p w:rsidR="00000000" w:rsidDel="00000000" w:rsidP="00000000" w:rsidRDefault="00000000" w:rsidRPr="00000000" w14:paraId="00000106">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color w:val="1f1f1f"/>
          <w:rtl w:val="0"/>
        </w:rPr>
        <w:t xml:space="preserve">1. </w:t>
      </w:r>
      <w:r w:rsidDel="00000000" w:rsidR="00000000" w:rsidRPr="00000000">
        <w:rPr>
          <w:rtl w:val="0"/>
        </w:rPr>
        <w:t xml:space="preserve">AI Singapore and Infocomm Media Development Authority, "Alibaba's Qwen Powers AI Singapore's Latest LLM to Strengthen Multilingual Performance in Southeast Asia," November 24, 2025,</w:t>
      </w:r>
      <w:hyperlink r:id="rId18">
        <w:r w:rsidDel="00000000" w:rsidR="00000000" w:rsidRPr="00000000">
          <w:rPr>
            <w:rtl w:val="0"/>
          </w:rPr>
          <w:t xml:space="preserve"> </w:t>
        </w:r>
      </w:hyperlink>
      <w:hyperlink r:id="rId19">
        <w:r w:rsidDel="00000000" w:rsidR="00000000" w:rsidRPr="00000000">
          <w:rPr>
            <w:u w:val="single"/>
            <w:rtl w:val="0"/>
          </w:rPr>
          <w:t xml:space="preserve">https://www.alibabacloud.com/en/press-room/alibaba-qwen-powers-ai-singapore-latest-llm</w:t>
        </w:r>
      </w:hyperlink>
      <w:r w:rsidDel="00000000" w:rsidR="00000000" w:rsidRPr="00000000">
        <w:rPr>
          <w:rtl w:val="0"/>
        </w:rPr>
        <w:t xml:space="preserve">.</w:t>
      </w:r>
    </w:p>
    <w:p w:rsidR="00000000" w:rsidDel="00000000" w:rsidP="00000000" w:rsidRDefault="00000000" w:rsidRPr="00000000" w14:paraId="00000107">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Fonts w:ascii="Gungsuh" w:cs="Gungsuh" w:eastAsia="Gungsuh" w:hAnsi="Gungsuh"/>
          <w:rtl w:val="0"/>
        </w:rPr>
        <w:t xml:space="preserve">2. State Council of the People's Republic of China, "National Standardization Development Outline" (国家标准化发展纲要), Central People's Government of the People's Republic of China, October 2021.</w:t>
      </w:r>
      <w:r w:rsidDel="00000000" w:rsidR="00000000" w:rsidRPr="00000000">
        <w:rPr>
          <w:rtl w:val="0"/>
        </w:rPr>
      </w:r>
    </w:p>
    <w:p w:rsidR="00000000" w:rsidDel="00000000" w:rsidP="00000000" w:rsidRDefault="00000000" w:rsidRPr="00000000" w14:paraId="00000108">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3. Nadège Rolland, "China's Digital Silk Road in Action: Ecuador’s ECU-911 System," National Bureau of Asian Research, 2019; AidData, "CDB Provides $240 Million Loan to Set Up Security Service ECU 911," Project Record ID#39281,</w:t>
      </w:r>
      <w:hyperlink r:id="rId20">
        <w:r w:rsidDel="00000000" w:rsidR="00000000" w:rsidRPr="00000000">
          <w:rPr>
            <w:rtl w:val="0"/>
          </w:rPr>
          <w:t xml:space="preserve"> </w:t>
        </w:r>
      </w:hyperlink>
      <w:hyperlink r:id="rId21">
        <w:r w:rsidDel="00000000" w:rsidR="00000000" w:rsidRPr="00000000">
          <w:rPr>
            <w:u w:val="single"/>
            <w:rtl w:val="0"/>
          </w:rPr>
          <w:t xml:space="preserve">https://china.aiddata.org/projects/39281/</w:t>
        </w:r>
      </w:hyperlink>
      <w:r w:rsidDel="00000000" w:rsidR="00000000" w:rsidRPr="00000000">
        <w:rPr>
          <w:rtl w:val="0"/>
        </w:rPr>
        <w:t xml:space="preserve">.</w:t>
      </w:r>
    </w:p>
    <w:p w:rsidR="00000000" w:rsidDel="00000000" w:rsidP="00000000" w:rsidRDefault="00000000" w:rsidRPr="00000000" w14:paraId="00000109">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4. Paul Mozur, "Made in China, Exported to the World: The Surveillance State," </w:t>
      </w:r>
      <w:r w:rsidDel="00000000" w:rsidR="00000000" w:rsidRPr="00000000">
        <w:rPr>
          <w:i w:val="1"/>
          <w:iCs w:val="1"/>
          <w:rtl w:val="0"/>
        </w:rPr>
        <w:t xml:space="preserve">The New York Times</w:t>
      </w:r>
      <w:r w:rsidDel="00000000" w:rsidR="00000000" w:rsidRPr="00000000">
        <w:rPr>
          <w:rtl w:val="0"/>
        </w:rPr>
        <w:t xml:space="preserve">, April 24, 2019.</w:t>
      </w:r>
    </w:p>
    <w:p w:rsidR="00000000" w:rsidDel="00000000" w:rsidP="00000000" w:rsidRDefault="00000000" w:rsidRPr="00000000" w14:paraId="0000010A">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5. Ministry of Foreign Affairs of the Netherlands, "National Export Control Measures Regarding Advanced Semiconductor Manufacturing Equipment," September 2023 / 2024 Update.</w:t>
      </w:r>
    </w:p>
    <w:p w:rsidR="00000000" w:rsidDel="00000000" w:rsidP="00000000" w:rsidRDefault="00000000" w:rsidRPr="00000000" w14:paraId="0000010B">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6. U.S. Bureau of Industry and Security, "Implementation of Additional Export Controls: Certain Advanced Computing Items; Supercomputer and Semiconductor End Uses," U.S. Department of Commerce, 2022/2023.</w:t>
      </w:r>
    </w:p>
    <w:p w:rsidR="00000000" w:rsidDel="00000000" w:rsidP="00000000" w:rsidRDefault="00000000" w:rsidRPr="00000000" w14:paraId="0000010C">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7. Mark F. Cancian, Matthew Cancian, and Eric Heginbotham, "The First Battle of the Next War: Wargaming a Chinese Invasion of Taiwan," Center for Strategic and International Studies, January 2023.</w:t>
      </w:r>
    </w:p>
    <w:p w:rsidR="00000000" w:rsidDel="00000000" w:rsidP="00000000" w:rsidRDefault="00000000" w:rsidRPr="00000000" w14:paraId="0000010D">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8. The White House, "Washington Declaration," Office of the Press Secretary, April 26, 2023.</w:t>
      </w:r>
    </w:p>
    <w:p w:rsidR="00000000" w:rsidDel="00000000" w:rsidP="00000000" w:rsidRDefault="00000000" w:rsidRPr="00000000" w14:paraId="0000010E">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9. Financial Times Reporting, "Corporate Filings and Cloud Computing Logistics Networks in Southeast Asia," 2024.</w:t>
      </w:r>
    </w:p>
    <w:p w:rsidR="00000000" w:rsidDel="00000000" w:rsidP="00000000" w:rsidRDefault="00000000" w:rsidRPr="00000000" w14:paraId="0000010F">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10. U.S. Department of Commerce, "Inquiries into Foreign Direct Product Rule (FDPR) Compliance in Southeast Asian AI Data Hubs," Federal Enforcement Records, February 2025.</w:t>
      </w:r>
    </w:p>
    <w:p w:rsidR="00000000" w:rsidDel="00000000" w:rsidP="00000000" w:rsidRDefault="00000000" w:rsidRPr="00000000" w14:paraId="00000110">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11. Attorney-General's Chambers Singapore, "State vs. Strategic Goods Control Act Violations (Dual-Use Microelectronics Transshipment)," State Prosecutorial Filings, 2025.</w:t>
      </w:r>
    </w:p>
    <w:p w:rsidR="00000000" w:rsidDel="00000000" w:rsidP="00000000" w:rsidRDefault="00000000" w:rsidRPr="00000000" w14:paraId="00000111">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12. U.S. Department of Justice, "Indictment of Multilateral GPU Diversion and Transshipment Networks," Office of Public Affairs, 2025.</w:t>
      </w:r>
    </w:p>
    <w:p w:rsidR="00000000" w:rsidDel="00000000" w:rsidP="00000000" w:rsidRDefault="00000000" w:rsidRPr="00000000" w14:paraId="00000112">
      <w:pPr>
        <w:pBdr>
          <w:top w:color="000000" w:space="0" w:sz="0" w:val="none"/>
          <w:bottom w:color="000000" w:space="0" w:sz="0" w:val="none"/>
          <w:right w:color="000000" w:space="0" w:sz="0" w:val="none"/>
          <w:between w:color="000000" w:space="0" w:sz="0" w:val="none"/>
        </w:pBdr>
        <w:spacing w:line="360" w:lineRule="auto"/>
        <w:ind w:left="0" w:firstLine="0"/>
        <w:rPr/>
      </w:pPr>
      <w:r w:rsidDel="00000000" w:rsidR="00000000" w:rsidRPr="00000000">
        <w:rPr>
          <w:rtl w:val="0"/>
        </w:rPr>
        <w:t xml:space="preserve">13. U.S. Attorney’s Office for the District Court, "United States v. Illicit GPU Export Logistics Syndicate ($160M Advanced Microelectronics Diversion)," Federal Court Filings, May 2025.</w:t>
      </w:r>
    </w:p>
    <w:p w:rsidR="00000000" w:rsidDel="00000000" w:rsidP="00000000" w:rsidRDefault="00000000" w:rsidRPr="00000000" w14:paraId="00000113">
      <w:pPr>
        <w:spacing w:after="160" w:line="276"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114">
      <w:pPr>
        <w:spacing w:after="160" w:line="276" w:lineRule="auto"/>
        <w:jc w:val="both"/>
        <w:rPr/>
      </w:pPr>
      <w:r w:rsidDel="00000000" w:rsidR="00000000" w:rsidRPr="00000000">
        <w:rPr>
          <w:rtl w:val="0"/>
        </w:rPr>
      </w:r>
    </w:p>
    <w:p w:rsidR="00000000" w:rsidDel="00000000" w:rsidP="00000000" w:rsidRDefault="00000000" w:rsidRPr="00000000" w14:paraId="00000115">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Notes — Ruso-Sino Relations: An Arctic Approach</w:t>
      </w:r>
      <w:r w:rsidDel="00000000" w:rsidR="00000000" w:rsidRPr="00000000">
        <w:rPr>
          <w:rtl w:val="0"/>
        </w:rPr>
      </w:r>
    </w:p>
    <w:p w:rsidR="00000000" w:rsidDel="00000000" w:rsidP="00000000" w:rsidRDefault="00000000" w:rsidRPr="00000000" w14:paraId="00000116">
      <w:pPr>
        <w:spacing w:after="160" w:line="276" w:lineRule="auto"/>
        <w:jc w:val="both"/>
        <w:rPr/>
      </w:pPr>
      <w:r w:rsidDel="00000000" w:rsidR="00000000" w:rsidRPr="00000000">
        <w:rPr>
          <w:sz w:val="22"/>
          <w:szCs w:val="22"/>
          <w:rtl w:val="0"/>
        </w:rPr>
        <w:t xml:space="preserve">1. Nikita Lipunov and Pavel Devyatkin, "The Arctic in the 2023 Russian Foreign Policy Concept," The Arctic Institute, May 30, 2023.</w:t>
      </w:r>
      <w:r w:rsidDel="00000000" w:rsidR="00000000" w:rsidRPr="00000000">
        <w:rPr>
          <w:rtl w:val="0"/>
        </w:rPr>
      </w:r>
    </w:p>
    <w:p w:rsidR="00000000" w:rsidDel="00000000" w:rsidP="00000000" w:rsidRDefault="00000000" w:rsidRPr="00000000" w14:paraId="00000117">
      <w:pPr>
        <w:spacing w:after="160" w:line="276" w:lineRule="auto"/>
        <w:jc w:val="both"/>
        <w:rPr/>
      </w:pPr>
      <w:r w:rsidDel="00000000" w:rsidR="00000000" w:rsidRPr="00000000">
        <w:rPr>
          <w:sz w:val="22"/>
          <w:szCs w:val="22"/>
          <w:rtl w:val="0"/>
        </w:rPr>
        <w:t xml:space="preserve">2. Lipunov and Devyatkin, "The Arctic in the 2023 Russian Foreign Policy Concept."</w:t>
      </w:r>
      <w:r w:rsidDel="00000000" w:rsidR="00000000" w:rsidRPr="00000000">
        <w:rPr>
          <w:rtl w:val="0"/>
        </w:rPr>
      </w:r>
    </w:p>
    <w:p w:rsidR="00000000" w:rsidDel="00000000" w:rsidP="00000000" w:rsidRDefault="00000000" w:rsidRPr="00000000" w14:paraId="00000118">
      <w:pPr>
        <w:spacing w:after="160" w:line="276" w:lineRule="auto"/>
        <w:jc w:val="both"/>
        <w:rPr/>
      </w:pPr>
      <w:r w:rsidDel="00000000" w:rsidR="00000000" w:rsidRPr="00000000">
        <w:rPr>
          <w:sz w:val="22"/>
          <w:szCs w:val="22"/>
          <w:rtl w:val="0"/>
        </w:rPr>
        <w:t xml:space="preserve">3. Pavel Baev, "Russia Continues to Reshape Arctic Security," Jamestown Foundation, May 2026.</w:t>
      </w:r>
      <w:r w:rsidDel="00000000" w:rsidR="00000000" w:rsidRPr="00000000">
        <w:rPr>
          <w:rtl w:val="0"/>
        </w:rPr>
      </w:r>
    </w:p>
    <w:p w:rsidR="00000000" w:rsidDel="00000000" w:rsidP="00000000" w:rsidRDefault="00000000" w:rsidRPr="00000000" w14:paraId="00000119">
      <w:pPr>
        <w:spacing w:after="160" w:line="276" w:lineRule="auto"/>
        <w:jc w:val="both"/>
        <w:rPr/>
      </w:pPr>
      <w:r w:rsidDel="00000000" w:rsidR="00000000" w:rsidRPr="00000000">
        <w:rPr>
          <w:sz w:val="22"/>
          <w:szCs w:val="22"/>
          <w:rtl w:val="0"/>
        </w:rPr>
        <w:t xml:space="preserve">4. Elizabeth Buchanan, "Russia's Arctic Strategy in the Aftermath of Ukraine," Australian Strategic Policy Institute, 2024.</w:t>
      </w:r>
      <w:r w:rsidDel="00000000" w:rsidR="00000000" w:rsidRPr="00000000">
        <w:rPr>
          <w:rtl w:val="0"/>
        </w:rPr>
      </w:r>
    </w:p>
    <w:p w:rsidR="00000000" w:rsidDel="00000000" w:rsidP="00000000" w:rsidRDefault="00000000" w:rsidRPr="00000000" w14:paraId="0000011A">
      <w:pPr>
        <w:spacing w:after="160" w:line="276" w:lineRule="auto"/>
        <w:jc w:val="both"/>
        <w:rPr/>
      </w:pPr>
      <w:r w:rsidDel="00000000" w:rsidR="00000000" w:rsidRPr="00000000">
        <w:rPr>
          <w:sz w:val="22"/>
          <w:szCs w:val="22"/>
          <w:rtl w:val="0"/>
        </w:rPr>
        <w:t xml:space="preserve">5. Sam LaGrone, "Russia, China Wrap Fifth Annual Joint Patrol," USNI News, August 25, 2025; Wall Street Journal, "U.S. Intercepts Russian and Chinese Bombers on First Joint Mission Off Alaska," July 2024.</w:t>
      </w:r>
      <w:r w:rsidDel="00000000" w:rsidR="00000000" w:rsidRPr="00000000">
        <w:rPr>
          <w:rtl w:val="0"/>
        </w:rPr>
      </w:r>
    </w:p>
    <w:p w:rsidR="00000000" w:rsidDel="00000000" w:rsidP="00000000" w:rsidRDefault="00000000" w:rsidRPr="00000000" w14:paraId="0000011B">
      <w:pPr>
        <w:spacing w:after="160" w:line="276" w:lineRule="auto"/>
        <w:jc w:val="both"/>
        <w:rPr/>
      </w:pPr>
      <w:r w:rsidDel="00000000" w:rsidR="00000000" w:rsidRPr="00000000">
        <w:rPr>
          <w:sz w:val="22"/>
          <w:szCs w:val="22"/>
          <w:rtl w:val="0"/>
        </w:rPr>
        <w:t xml:space="preserve">6. Marc Lanteigne, "China's Emerging Arctic Strategies," The Arctic Institute, 2025.</w:t>
      </w:r>
      <w:r w:rsidDel="00000000" w:rsidR="00000000" w:rsidRPr="00000000">
        <w:rPr>
          <w:rtl w:val="0"/>
        </w:rPr>
      </w:r>
    </w:p>
    <w:p w:rsidR="00000000" w:rsidDel="00000000" w:rsidP="00000000" w:rsidRDefault="00000000" w:rsidRPr="00000000" w14:paraId="0000011C">
      <w:pPr>
        <w:spacing w:after="160" w:line="276" w:lineRule="auto"/>
        <w:jc w:val="both"/>
        <w:rPr/>
      </w:pPr>
      <w:r w:rsidDel="00000000" w:rsidR="00000000" w:rsidRPr="00000000">
        <w:rPr>
          <w:sz w:val="22"/>
          <w:szCs w:val="22"/>
          <w:rtl w:val="0"/>
        </w:rPr>
        <w:t xml:space="preserve">7. "A Pragmatic Approach to Conceptual Divergences in Russia-China Relations in the Case of the Northern Sea Route," The Arctic Institute, November 4, 2025.</w:t>
      </w:r>
      <w:r w:rsidDel="00000000" w:rsidR="00000000" w:rsidRPr="00000000">
        <w:rPr>
          <w:rtl w:val="0"/>
        </w:rPr>
      </w:r>
    </w:p>
    <w:p w:rsidR="00000000" w:rsidDel="00000000" w:rsidP="00000000" w:rsidRDefault="00000000" w:rsidRPr="00000000" w14:paraId="0000011D">
      <w:pPr>
        <w:spacing w:after="160" w:line="276" w:lineRule="auto"/>
        <w:jc w:val="both"/>
        <w:rPr/>
      </w:pPr>
      <w:r w:rsidDel="00000000" w:rsidR="00000000" w:rsidRPr="00000000">
        <w:rPr>
          <w:sz w:val="22"/>
          <w:szCs w:val="22"/>
          <w:rtl w:val="0"/>
        </w:rPr>
        <w:t xml:space="preserve">8. Lipunov and Devyatkin, "The Arctic in the 2023 Russian Foreign Policy Concept."</w:t>
      </w:r>
      <w:r w:rsidDel="00000000" w:rsidR="00000000" w:rsidRPr="00000000">
        <w:rPr>
          <w:rtl w:val="0"/>
        </w:rPr>
      </w:r>
    </w:p>
    <w:p w:rsidR="00000000" w:rsidDel="00000000" w:rsidP="00000000" w:rsidRDefault="00000000" w:rsidRPr="00000000" w14:paraId="0000011E">
      <w:pPr>
        <w:spacing w:after="160" w:line="276" w:lineRule="auto"/>
        <w:jc w:val="both"/>
        <w:rPr/>
      </w:pPr>
      <w:r w:rsidDel="00000000" w:rsidR="00000000" w:rsidRPr="00000000">
        <w:rPr>
          <w:sz w:val="22"/>
          <w:szCs w:val="22"/>
          <w:rtl w:val="0"/>
        </w:rPr>
        <w:t xml:space="preserve">9. Reuters, "Supplies from Russia's Sanctioned Arctic LNG 2 Plant Curbed by Lack of Tankers," May 23, 2025.</w:t>
      </w:r>
      <w:r w:rsidDel="00000000" w:rsidR="00000000" w:rsidRPr="00000000">
        <w:rPr>
          <w:rtl w:val="0"/>
        </w:rPr>
      </w:r>
    </w:p>
    <w:p w:rsidR="00000000" w:rsidDel="00000000" w:rsidP="00000000" w:rsidRDefault="00000000" w:rsidRPr="00000000" w14:paraId="0000011F">
      <w:pPr>
        <w:spacing w:after="160" w:line="276" w:lineRule="auto"/>
        <w:jc w:val="both"/>
        <w:rPr/>
      </w:pPr>
      <w:r w:rsidDel="00000000" w:rsidR="00000000" w:rsidRPr="00000000">
        <w:rPr>
          <w:sz w:val="22"/>
          <w:szCs w:val="22"/>
          <w:rtl w:val="0"/>
        </w:rPr>
        <w:t xml:space="preserve">10. Reuters, "Supplies from Russia's Sanctioned Arctic LNG 2 Plant Curbed by Lack of Tankers," May 23, 2025.</w:t>
      </w:r>
      <w:r w:rsidDel="00000000" w:rsidR="00000000" w:rsidRPr="00000000">
        <w:rPr>
          <w:rtl w:val="0"/>
        </w:rPr>
      </w:r>
    </w:p>
    <w:p w:rsidR="00000000" w:rsidDel="00000000" w:rsidP="00000000" w:rsidRDefault="00000000" w:rsidRPr="00000000" w14:paraId="00000120">
      <w:pPr>
        <w:spacing w:after="160" w:line="276" w:lineRule="auto"/>
        <w:jc w:val="both"/>
        <w:rPr/>
      </w:pPr>
      <w:r w:rsidDel="00000000" w:rsidR="00000000" w:rsidRPr="00000000">
        <w:rPr>
          <w:sz w:val="22"/>
          <w:szCs w:val="22"/>
          <w:rtl w:val="0"/>
        </w:rPr>
        <w:t xml:space="preserve">11. Reuters, "Supplies from Russia's Sanctioned Arctic LNG 2 Plant Curbed by Lack of Tankers," May 23, 2025.</w:t>
      </w:r>
      <w:r w:rsidDel="00000000" w:rsidR="00000000" w:rsidRPr="00000000">
        <w:rPr>
          <w:rtl w:val="0"/>
        </w:rPr>
      </w:r>
    </w:p>
    <w:p w:rsidR="00000000" w:rsidDel="00000000" w:rsidP="00000000" w:rsidRDefault="00000000" w:rsidRPr="00000000" w14:paraId="00000121">
      <w:pPr>
        <w:spacing w:after="160" w:line="276" w:lineRule="auto"/>
        <w:jc w:val="both"/>
        <w:rPr/>
      </w:pPr>
      <w:r w:rsidDel="00000000" w:rsidR="00000000" w:rsidRPr="00000000">
        <w:rPr>
          <w:sz w:val="22"/>
          <w:szCs w:val="22"/>
          <w:rtl w:val="0"/>
        </w:rPr>
        <w:t xml:space="preserve">12. Ibid.</w:t>
      </w:r>
      <w:r w:rsidDel="00000000" w:rsidR="00000000" w:rsidRPr="00000000">
        <w:rPr>
          <w:rtl w:val="0"/>
        </w:rPr>
      </w:r>
    </w:p>
    <w:p w:rsidR="00000000" w:rsidDel="00000000" w:rsidP="00000000" w:rsidRDefault="00000000" w:rsidRPr="00000000" w14:paraId="00000122">
      <w:pPr>
        <w:spacing w:after="160" w:line="276" w:lineRule="auto"/>
        <w:jc w:val="both"/>
        <w:rPr/>
      </w:pPr>
      <w:r w:rsidDel="00000000" w:rsidR="00000000" w:rsidRPr="00000000">
        <w:rPr>
          <w:sz w:val="22"/>
          <w:szCs w:val="22"/>
          <w:rtl w:val="0"/>
        </w:rPr>
        <w:t xml:space="preserve">13. "A Pragmatic Approach to Conceptual Divergences in Russia-China Relations in the Case of the Northern Sea Route," The Arctic Institute, November 4, 2025.</w:t>
      </w:r>
      <w:r w:rsidDel="00000000" w:rsidR="00000000" w:rsidRPr="00000000">
        <w:rPr>
          <w:rtl w:val="0"/>
        </w:rPr>
      </w:r>
    </w:p>
    <w:p w:rsidR="00000000" w:rsidDel="00000000" w:rsidP="00000000" w:rsidRDefault="00000000" w:rsidRPr="00000000" w14:paraId="00000123">
      <w:pPr>
        <w:spacing w:after="160" w:line="276" w:lineRule="auto"/>
        <w:jc w:val="both"/>
        <w:rPr/>
      </w:pPr>
      <w:r w:rsidDel="00000000" w:rsidR="00000000" w:rsidRPr="00000000">
        <w:rPr>
          <w:sz w:val="22"/>
          <w:szCs w:val="22"/>
          <w:rtl w:val="0"/>
        </w:rPr>
        <w:t xml:space="preserve">14. Marc Lanteigne, "China's Emerging Arctic Strategies," The Arctic Institute, 2025.</w:t>
      </w:r>
      <w:r w:rsidDel="00000000" w:rsidR="00000000" w:rsidRPr="00000000">
        <w:rPr>
          <w:rtl w:val="0"/>
        </w:rPr>
      </w:r>
    </w:p>
    <w:p w:rsidR="00000000" w:rsidDel="00000000" w:rsidP="00000000" w:rsidRDefault="00000000" w:rsidRPr="00000000" w14:paraId="00000124">
      <w:pPr>
        <w:spacing w:after="160" w:line="276" w:lineRule="auto"/>
        <w:jc w:val="both"/>
        <w:rPr/>
      </w:pPr>
      <w:r w:rsidDel="00000000" w:rsidR="00000000" w:rsidRPr="00000000">
        <w:rPr>
          <w:sz w:val="22"/>
          <w:szCs w:val="22"/>
          <w:rtl w:val="0"/>
        </w:rPr>
        <w:t xml:space="preserve">15. "Russia Approves Expanding Rare Earths Mining and Refining Program," Jamestown Foundation, December 8, 2025.</w:t>
      </w:r>
      <w:r w:rsidDel="00000000" w:rsidR="00000000" w:rsidRPr="00000000">
        <w:rPr>
          <w:rtl w:val="0"/>
        </w:rPr>
      </w:r>
    </w:p>
    <w:p w:rsidR="00000000" w:rsidDel="00000000" w:rsidP="00000000" w:rsidRDefault="00000000" w:rsidRPr="00000000" w14:paraId="00000125">
      <w:pPr>
        <w:spacing w:after="160" w:line="276" w:lineRule="auto"/>
        <w:jc w:val="both"/>
        <w:rPr/>
      </w:pPr>
      <w:r w:rsidDel="00000000" w:rsidR="00000000" w:rsidRPr="00000000">
        <w:rPr>
          <w:sz w:val="22"/>
          <w:szCs w:val="22"/>
          <w:rtl w:val="0"/>
        </w:rPr>
        <w:t xml:space="preserve">16. "Russia to Produce Rare Earth Metals Roadmap," Quest Metal, November 21, 2025; U.S. Geological Survey, Mineral Commodity Summaries, 2026.</w:t>
      </w:r>
      <w:r w:rsidDel="00000000" w:rsidR="00000000" w:rsidRPr="00000000">
        <w:rPr>
          <w:rtl w:val="0"/>
        </w:rPr>
      </w:r>
    </w:p>
    <w:p w:rsidR="00000000" w:rsidDel="00000000" w:rsidP="00000000" w:rsidRDefault="00000000" w:rsidRPr="00000000" w14:paraId="00000126">
      <w:pPr>
        <w:spacing w:after="160" w:line="276" w:lineRule="auto"/>
        <w:jc w:val="both"/>
        <w:rPr/>
      </w:pPr>
      <w:r w:rsidDel="00000000" w:rsidR="00000000" w:rsidRPr="00000000">
        <w:rPr>
          <w:sz w:val="22"/>
          <w:szCs w:val="22"/>
          <w:rtl w:val="0"/>
        </w:rPr>
        <w:t xml:space="preserve">17. "Russia Approves Expanding Rare Earths Mining and Refining Program," Jamestown Foundation, December 8, 2025.</w:t>
      </w:r>
      <w:r w:rsidDel="00000000" w:rsidR="00000000" w:rsidRPr="00000000">
        <w:rPr>
          <w:rtl w:val="0"/>
        </w:rPr>
      </w:r>
    </w:p>
    <w:p w:rsidR="00000000" w:rsidDel="00000000" w:rsidP="00000000" w:rsidRDefault="00000000" w:rsidRPr="00000000" w14:paraId="00000127">
      <w:pPr>
        <w:spacing w:after="160" w:line="276" w:lineRule="auto"/>
        <w:jc w:val="both"/>
        <w:rPr/>
      </w:pPr>
      <w:r w:rsidDel="00000000" w:rsidR="00000000" w:rsidRPr="00000000">
        <w:rPr>
          <w:sz w:val="22"/>
          <w:szCs w:val="22"/>
          <w:rtl w:val="0"/>
        </w:rPr>
        <w:t xml:space="preserve">18. Valery Konyshev, "Rare Earth Elements at the Forefront of Strategic Competition," Observer Research Foundation, 2026.</w:t>
      </w:r>
      <w:r w:rsidDel="00000000" w:rsidR="00000000" w:rsidRPr="00000000">
        <w:rPr>
          <w:rtl w:val="0"/>
        </w:rPr>
      </w:r>
    </w:p>
    <w:p w:rsidR="00000000" w:rsidDel="00000000" w:rsidP="00000000" w:rsidRDefault="00000000" w:rsidRPr="00000000" w14:paraId="00000128">
      <w:pPr>
        <w:spacing w:after="160" w:line="276" w:lineRule="auto"/>
        <w:jc w:val="both"/>
        <w:rPr/>
      </w:pPr>
      <w:r w:rsidDel="00000000" w:rsidR="00000000" w:rsidRPr="00000000">
        <w:rPr>
          <w:sz w:val="22"/>
          <w:szCs w:val="22"/>
          <w:rtl w:val="0"/>
        </w:rPr>
        <w:t xml:space="preserve">19. "Russia to Produce Rare Earth Metals Roadmap," Quest Metal, November 21, 2025; U.S. Geological Survey, Mineral Commodity Summaries, 2026.</w:t>
      </w:r>
      <w:r w:rsidDel="00000000" w:rsidR="00000000" w:rsidRPr="00000000">
        <w:rPr>
          <w:rtl w:val="0"/>
        </w:rPr>
      </w:r>
    </w:p>
    <w:p w:rsidR="00000000" w:rsidDel="00000000" w:rsidP="00000000" w:rsidRDefault="00000000" w:rsidRPr="00000000" w14:paraId="00000129">
      <w:pPr>
        <w:spacing w:after="160" w:line="276" w:lineRule="auto"/>
        <w:jc w:val="both"/>
        <w:rPr/>
      </w:pPr>
      <w:r w:rsidDel="00000000" w:rsidR="00000000" w:rsidRPr="00000000">
        <w:rPr>
          <w:sz w:val="22"/>
          <w:szCs w:val="22"/>
          <w:rtl w:val="0"/>
        </w:rPr>
        <w:t xml:space="preserve">20. "Russia Struggling to Compete in Rare Earths," Jamestown Foundation, April 24, 2026.</w:t>
      </w:r>
      <w:r w:rsidDel="00000000" w:rsidR="00000000" w:rsidRPr="00000000">
        <w:rPr>
          <w:rtl w:val="0"/>
        </w:rPr>
      </w:r>
    </w:p>
    <w:p w:rsidR="00000000" w:rsidDel="00000000" w:rsidP="00000000" w:rsidRDefault="00000000" w:rsidRPr="00000000" w14:paraId="0000012A">
      <w:pPr>
        <w:spacing w:after="160" w:line="276" w:lineRule="auto"/>
        <w:jc w:val="both"/>
        <w:rPr/>
      </w:pPr>
      <w:r w:rsidDel="00000000" w:rsidR="00000000" w:rsidRPr="00000000">
        <w:rPr>
          <w:sz w:val="22"/>
          <w:szCs w:val="22"/>
          <w:rtl w:val="0"/>
        </w:rPr>
        <w:t xml:space="preserve">21. "Russia to Produce Rare Earth Metals Roadmap," Quest Metal, November 21, 2025; U.S. Geological Survey, Mineral Commodity Summaries, 2026.</w:t>
      </w:r>
      <w:r w:rsidDel="00000000" w:rsidR="00000000" w:rsidRPr="00000000">
        <w:rPr>
          <w:rtl w:val="0"/>
        </w:rPr>
      </w:r>
    </w:p>
    <w:p w:rsidR="00000000" w:rsidDel="00000000" w:rsidP="00000000" w:rsidRDefault="00000000" w:rsidRPr="00000000" w14:paraId="0000012B">
      <w:pPr>
        <w:spacing w:after="160" w:line="276" w:lineRule="auto"/>
        <w:jc w:val="both"/>
        <w:rPr/>
      </w:pPr>
      <w:r w:rsidDel="00000000" w:rsidR="00000000" w:rsidRPr="00000000">
        <w:rPr>
          <w:sz w:val="22"/>
          <w:szCs w:val="22"/>
          <w:rtl w:val="0"/>
        </w:rPr>
        <w:t xml:space="preserve">22. "Ore and Order: Russia's Rare-Earth Strategy for the Ukraine Talks," European Council on Foreign Relations, February 4, 2026.</w:t>
      </w:r>
      <w:r w:rsidDel="00000000" w:rsidR="00000000" w:rsidRPr="00000000">
        <w:rPr>
          <w:rtl w:val="0"/>
        </w:rPr>
      </w:r>
    </w:p>
    <w:p w:rsidR="00000000" w:rsidDel="00000000" w:rsidP="00000000" w:rsidRDefault="00000000" w:rsidRPr="00000000" w14:paraId="0000012C">
      <w:pPr>
        <w:spacing w:after="160" w:line="276" w:lineRule="auto"/>
        <w:jc w:val="both"/>
        <w:rPr/>
      </w:pPr>
      <w:r w:rsidDel="00000000" w:rsidR="00000000" w:rsidRPr="00000000">
        <w:rPr>
          <w:sz w:val="22"/>
          <w:szCs w:val="22"/>
          <w:rtl w:val="0"/>
        </w:rPr>
        <w:t xml:space="preserve">23. "Russia Struggling to Compete in Rare Earths," Jamestown Foundation, April 24, 2026.</w:t>
      </w:r>
      <w:r w:rsidDel="00000000" w:rsidR="00000000" w:rsidRPr="00000000">
        <w:rPr>
          <w:rtl w:val="0"/>
        </w:rPr>
      </w:r>
    </w:p>
    <w:p w:rsidR="00000000" w:rsidDel="00000000" w:rsidP="00000000" w:rsidRDefault="00000000" w:rsidRPr="00000000" w14:paraId="0000012D">
      <w:pPr>
        <w:spacing w:after="160" w:line="276" w:lineRule="auto"/>
        <w:jc w:val="both"/>
        <w:rPr>
          <w:sz w:val="22"/>
          <w:szCs w:val="22"/>
        </w:rPr>
      </w:pPr>
      <w:r w:rsidDel="00000000" w:rsidR="00000000" w:rsidRPr="00000000">
        <w:rPr>
          <w:sz w:val="22"/>
          <w:szCs w:val="22"/>
          <w:rtl w:val="0"/>
        </w:rPr>
        <w:t xml:space="preserve">24. "Dig, Baby, Dig? China's Mineral Dominance and Ripple Effects into the Arctic," The Arctic Institute, January 6, 2026.</w:t>
      </w:r>
      <w:r w:rsidDel="00000000" w:rsidR="00000000" w:rsidRPr="00000000">
        <w:br w:type="page"/>
      </w:r>
      <w:r w:rsidDel="00000000" w:rsidR="00000000" w:rsidRPr="00000000">
        <w:rPr>
          <w:rtl w:val="0"/>
        </w:rPr>
      </w:r>
    </w:p>
    <w:p w:rsidR="00000000" w:rsidDel="00000000" w:rsidP="00000000" w:rsidRDefault="00000000" w:rsidRPr="00000000" w14:paraId="0000012E">
      <w:pPr>
        <w:spacing w:after="160" w:line="276" w:lineRule="auto"/>
        <w:jc w:val="both"/>
        <w:rPr/>
      </w:pPr>
      <w:r w:rsidDel="00000000" w:rsidR="00000000" w:rsidRPr="00000000">
        <w:rPr>
          <w:rtl w:val="0"/>
        </w:rPr>
      </w:r>
    </w:p>
    <w:p w:rsidR="00000000" w:rsidDel="00000000" w:rsidP="00000000" w:rsidRDefault="00000000" w:rsidRPr="00000000" w14:paraId="0000012F">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Notes — The Southern Reach: Chinese Infrastructure Investment, Dependency Architecture, and Alignment Drift in Latin America</w:t>
      </w:r>
      <w:r w:rsidDel="00000000" w:rsidR="00000000" w:rsidRPr="00000000">
        <w:rPr>
          <w:rtl w:val="0"/>
        </w:rPr>
      </w:r>
    </w:p>
    <w:p w:rsidR="00000000" w:rsidDel="00000000" w:rsidP="00000000" w:rsidRDefault="00000000" w:rsidRPr="00000000" w14:paraId="00000130">
      <w:pPr>
        <w:spacing w:after="160" w:line="276" w:lineRule="auto"/>
        <w:jc w:val="both"/>
        <w:rPr/>
      </w:pPr>
      <w:r w:rsidDel="00000000" w:rsidR="00000000" w:rsidRPr="00000000">
        <w:rPr>
          <w:sz w:val="22"/>
          <w:szCs w:val="22"/>
          <w:rtl w:val="0"/>
        </w:rPr>
        <w:t xml:space="preserve">1. Zhigao Liu, Seth Schindler, and Weidong Liu, "Demystifying Chinese Overseas Investment in Infrastructure: Port Development, the Belt and Road Initiative and Regional Development," Journal of Transport Geography 87 (2020): 102812, https://doi.org/10.1016/j.jtrangeo.2020.102812.</w:t>
      </w:r>
      <w:r w:rsidDel="00000000" w:rsidR="00000000" w:rsidRPr="00000000">
        <w:rPr>
          <w:rtl w:val="0"/>
        </w:rPr>
      </w:r>
    </w:p>
    <w:p w:rsidR="00000000" w:rsidDel="00000000" w:rsidP="00000000" w:rsidRDefault="00000000" w:rsidRPr="00000000" w14:paraId="00000131">
      <w:pPr>
        <w:spacing w:after="160" w:line="276" w:lineRule="auto"/>
        <w:jc w:val="both"/>
        <w:rPr/>
      </w:pPr>
      <w:r w:rsidDel="00000000" w:rsidR="00000000" w:rsidRPr="00000000">
        <w:rPr>
          <w:sz w:val="22"/>
          <w:szCs w:val="22"/>
          <w:rtl w:val="0"/>
        </w:rPr>
        <w:t xml:space="preserve">2. "China Global Investment Tracker," American Enterprise Institute, accessed July 2026, https://www.aei.org/china-global-investment-tracker/.</w:t>
      </w:r>
      <w:r w:rsidDel="00000000" w:rsidR="00000000" w:rsidRPr="00000000">
        <w:rPr>
          <w:rtl w:val="0"/>
        </w:rPr>
      </w:r>
    </w:p>
    <w:p w:rsidR="00000000" w:rsidDel="00000000" w:rsidP="00000000" w:rsidRDefault="00000000" w:rsidRPr="00000000" w14:paraId="00000132">
      <w:pPr>
        <w:spacing w:after="160" w:line="276" w:lineRule="auto"/>
        <w:jc w:val="both"/>
        <w:rPr/>
      </w:pPr>
      <w:r w:rsidDel="00000000" w:rsidR="00000000" w:rsidRPr="00000000">
        <w:rPr>
          <w:sz w:val="22"/>
          <w:szCs w:val="22"/>
          <w:rtl w:val="0"/>
        </w:rPr>
        <w:t xml:space="preserve">3. Anna Gelpern, Sebastian Horn, Scott Morris, Brad Parks, and Christoph Trebesch, "How China Lends: A Rare Look into 100 Debt Contracts with Foreign Governments," AidData at William &amp; Mary, 2021, https://www.aiddata.org/publications/how-china-lends.</w:t>
      </w:r>
      <w:r w:rsidDel="00000000" w:rsidR="00000000" w:rsidRPr="00000000">
        <w:rPr>
          <w:rtl w:val="0"/>
        </w:rPr>
      </w:r>
    </w:p>
    <w:p w:rsidR="00000000" w:rsidDel="00000000" w:rsidP="00000000" w:rsidRDefault="00000000" w:rsidRPr="00000000" w14:paraId="00000133">
      <w:pPr>
        <w:spacing w:after="160" w:line="276" w:lineRule="auto"/>
        <w:jc w:val="both"/>
        <w:rPr/>
      </w:pPr>
      <w:r w:rsidDel="00000000" w:rsidR="00000000" w:rsidRPr="00000000">
        <w:rPr>
          <w:sz w:val="22"/>
          <w:szCs w:val="22"/>
          <w:rtl w:val="0"/>
        </w:rPr>
        <w:t xml:space="preserve">4. Rebecca Ray and Margaret Myers, "Chinese Loans to Latin America and the Caribbean Database," Inter-American Dialogue and Boston University Global Development Policy Center, 2024, https://www.bu.edu/gdp/china-latin-america-finance-database-data-download/.</w:t>
      </w:r>
      <w:r w:rsidDel="00000000" w:rsidR="00000000" w:rsidRPr="00000000">
        <w:rPr>
          <w:rtl w:val="0"/>
        </w:rPr>
      </w:r>
    </w:p>
    <w:p w:rsidR="00000000" w:rsidDel="00000000" w:rsidP="00000000" w:rsidRDefault="00000000" w:rsidRPr="00000000" w14:paraId="00000134">
      <w:pPr>
        <w:spacing w:after="160" w:line="276" w:lineRule="auto"/>
        <w:jc w:val="both"/>
        <w:rPr/>
      </w:pPr>
      <w:r w:rsidDel="00000000" w:rsidR="00000000" w:rsidRPr="00000000">
        <w:rPr>
          <w:sz w:val="22"/>
          <w:szCs w:val="22"/>
          <w:rtl w:val="0"/>
        </w:rPr>
        <w:t xml:space="preserve">5. Elia Apostolopoulou and Alejandra Pizarro, "Contesting the Anticipated Infrastructural City: A Grounded Analysis of Silk Road Urbanization in the Multipurpose Port Terminal in Chancay, Peru," Annals of the American Association of Geographers 115, no. 1 (2025): 223-241, https://doi.org/10.1080/24694452.2024.2415718.</w:t>
      </w:r>
      <w:r w:rsidDel="00000000" w:rsidR="00000000" w:rsidRPr="00000000">
        <w:rPr>
          <w:rtl w:val="0"/>
        </w:rPr>
      </w:r>
    </w:p>
    <w:p w:rsidR="00000000" w:rsidDel="00000000" w:rsidP="00000000" w:rsidRDefault="00000000" w:rsidRPr="00000000" w14:paraId="00000135">
      <w:pPr>
        <w:spacing w:after="160" w:line="276" w:lineRule="auto"/>
        <w:jc w:val="both"/>
        <w:rPr/>
      </w:pPr>
      <w:r w:rsidDel="00000000" w:rsidR="00000000" w:rsidRPr="00000000">
        <w:rPr>
          <w:sz w:val="22"/>
          <w:szCs w:val="22"/>
          <w:rtl w:val="0"/>
        </w:rPr>
        <w:t xml:space="preserve">6. "Port of Power: Peru's Chancay Port and the Geopolitics of Infrastructure in the U.S.-China Rivalry," Asia Policy, National Bureau of Asian Research, 2025, https://muse.jhu.edu/pub/136/article/974350/summary.</w:t>
      </w:r>
      <w:r w:rsidDel="00000000" w:rsidR="00000000" w:rsidRPr="00000000">
        <w:rPr>
          <w:rtl w:val="0"/>
        </w:rPr>
      </w:r>
    </w:p>
    <w:p w:rsidR="00000000" w:rsidDel="00000000" w:rsidP="00000000" w:rsidRDefault="00000000" w:rsidRPr="00000000" w14:paraId="00000136">
      <w:pPr>
        <w:spacing w:after="160" w:line="276" w:lineRule="auto"/>
        <w:jc w:val="both"/>
        <w:rPr/>
      </w:pPr>
      <w:r w:rsidDel="00000000" w:rsidR="00000000" w:rsidRPr="00000000">
        <w:rPr>
          <w:sz w:val="22"/>
          <w:szCs w:val="22"/>
          <w:rtl w:val="0"/>
        </w:rPr>
        <w:t xml:space="preserve">7. CNN, "Panama's Supreme Court Voids Hutchison Port Concession Amid US-China Dispute," January 30, 2026, https://www.cnn.com/2026/01/30/world/hong-kong-panama-canal-ports-intl-hnk.</w:t>
      </w:r>
      <w:r w:rsidDel="00000000" w:rsidR="00000000" w:rsidRPr="00000000">
        <w:rPr>
          <w:rtl w:val="0"/>
        </w:rPr>
      </w:r>
    </w:p>
    <w:p w:rsidR="00000000" w:rsidDel="00000000" w:rsidP="00000000" w:rsidRDefault="00000000" w:rsidRPr="00000000" w14:paraId="00000137">
      <w:pPr>
        <w:spacing w:after="160" w:line="276" w:lineRule="auto"/>
        <w:jc w:val="both"/>
        <w:rPr/>
      </w:pPr>
      <w:r w:rsidDel="00000000" w:rsidR="00000000" w:rsidRPr="00000000">
        <w:rPr>
          <w:sz w:val="22"/>
          <w:szCs w:val="22"/>
          <w:rtl w:val="0"/>
        </w:rPr>
        <w:t xml:space="preserve">8. Robert A. Portada III, Steven B. Lem, and Uttam Paudel, "The Final Frontier: China, Taiwan, and the United States in Strategic Competition for Central America," Journal of Chinese Political Science 25, no. 4 (2020): 551-573, https://doi.org/10.1007/s11366-020-09682-8.</w:t>
      </w:r>
      <w:r w:rsidDel="00000000" w:rsidR="00000000" w:rsidRPr="00000000">
        <w:rPr>
          <w:rtl w:val="0"/>
        </w:rPr>
      </w:r>
    </w:p>
    <w:p w:rsidR="00000000" w:rsidDel="00000000" w:rsidP="00000000" w:rsidRDefault="00000000" w:rsidRPr="00000000" w14:paraId="00000138">
      <w:pPr>
        <w:spacing w:after="160" w:line="276" w:lineRule="auto"/>
        <w:jc w:val="both"/>
        <w:rPr/>
      </w:pPr>
      <w:r w:rsidDel="00000000" w:rsidR="00000000" w:rsidRPr="00000000">
        <w:rPr>
          <w:sz w:val="22"/>
          <w:szCs w:val="22"/>
          <w:rtl w:val="0"/>
        </w:rPr>
        <w:t xml:space="preserve">9. Timothy S. Rich et al., "Should I Stay or Should I Go? Diplomatic Recognition of Taiwan, 1950-2016," International Journal of Taiwan Studies 5, no. 2 (2022): 353, https://brill.com/view/journals/ijts/5/2/article-p353_007.xml.</w:t>
      </w:r>
      <w:r w:rsidDel="00000000" w:rsidR="00000000" w:rsidRPr="00000000">
        <w:rPr>
          <w:rtl w:val="0"/>
        </w:rPr>
      </w:r>
    </w:p>
    <w:p w:rsidR="00000000" w:rsidDel="00000000" w:rsidP="00000000" w:rsidRDefault="00000000" w:rsidRPr="00000000" w14:paraId="00000139">
      <w:pPr>
        <w:spacing w:after="160" w:line="276" w:lineRule="auto"/>
        <w:jc w:val="both"/>
        <w:rPr/>
      </w:pPr>
      <w:r w:rsidDel="00000000" w:rsidR="00000000" w:rsidRPr="00000000">
        <w:rPr>
          <w:sz w:val="22"/>
          <w:szCs w:val="22"/>
          <w:rtl w:val="0"/>
        </w:rPr>
        <w:t xml:space="preserve">10. "Who We Are: Overview," U.S. International Development Finance Corporation, accessed July 2026, https://www.dfc.gov/who-we-are/overview.</w:t>
      </w:r>
      <w:r w:rsidDel="00000000" w:rsidR="00000000" w:rsidRPr="00000000">
        <w:rPr>
          <w:rtl w:val="0"/>
        </w:rPr>
      </w:r>
    </w:p>
    <w:p w:rsidR="00000000" w:rsidDel="00000000" w:rsidP="00000000" w:rsidRDefault="00000000" w:rsidRPr="00000000" w14:paraId="0000013A">
      <w:pPr>
        <w:spacing w:after="160" w:line="276" w:lineRule="auto"/>
        <w:jc w:val="both"/>
        <w:rPr/>
      </w:pPr>
      <w:r w:rsidDel="00000000" w:rsidR="00000000" w:rsidRPr="00000000">
        <w:rPr>
          <w:sz w:val="22"/>
          <w:szCs w:val="22"/>
          <w:rtl w:val="0"/>
        </w:rPr>
        <w:t xml:space="preserve">11. Robert A. Portada III, Steven B. Lem, and Uttam Paudel, "The Final Frontier: China, Taiwan, and the United States in Strategic Competition for Central America," Journal of Chinese Political Science 25, no. 4 (2020): 551-573, https://doi.org/10.1007/s11366-020-09682-8.</w:t>
      </w:r>
      <w:r w:rsidDel="00000000" w:rsidR="00000000" w:rsidRPr="00000000">
        <w:rPr>
          <w:rtl w:val="0"/>
        </w:rPr>
      </w:r>
    </w:p>
    <w:p w:rsidR="00000000" w:rsidDel="00000000" w:rsidP="00000000" w:rsidRDefault="00000000" w:rsidRPr="00000000" w14:paraId="0000013B">
      <w:pPr>
        <w:spacing w:after="160" w:line="276" w:lineRule="auto"/>
        <w:jc w:val="both"/>
        <w:rPr/>
      </w:pPr>
      <w:r w:rsidDel="00000000" w:rsidR="00000000" w:rsidRPr="00000000">
        <w:rPr>
          <w:sz w:val="22"/>
          <w:szCs w:val="22"/>
          <w:rtl w:val="0"/>
        </w:rPr>
        <w:t xml:space="preserve">12. Robert A. Portada III, Steven B. Lem, and Uttam Paudel, "The Final Frontier: China, Taiwan, and the United States in Strategic Competition for Central America," Journal of Chinese Political Science 25, no. 4 (2020): 551-573, https://doi.org/10.1007/s11366-020-09682-8.</w:t>
      </w:r>
      <w:r w:rsidDel="00000000" w:rsidR="00000000" w:rsidRPr="00000000">
        <w:rPr>
          <w:rtl w:val="0"/>
        </w:rPr>
      </w:r>
    </w:p>
    <w:p w:rsidR="00000000" w:rsidDel="00000000" w:rsidP="00000000" w:rsidRDefault="00000000" w:rsidRPr="00000000" w14:paraId="0000013C">
      <w:pPr>
        <w:spacing w:after="160" w:line="276" w:lineRule="auto"/>
        <w:jc w:val="both"/>
        <w:rPr/>
      </w:pPr>
      <w:r w:rsidDel="00000000" w:rsidR="00000000" w:rsidRPr="00000000">
        <w:rPr>
          <w:sz w:val="22"/>
          <w:szCs w:val="22"/>
          <w:rtl w:val="0"/>
        </w:rPr>
        <w:t xml:space="preserve">13. Timothy S. Rich et al., "Should I Stay or Should I Go? Diplomatic Recognition of Taiwan, 1950-2016," International Journal of Taiwan Studies 5, no. 2 (2022): 353, https://brill.com/view/journals/ijts/5/2/article-p353_007.xml.</w:t>
      </w:r>
      <w:r w:rsidDel="00000000" w:rsidR="00000000" w:rsidRPr="00000000">
        <w:rPr>
          <w:rtl w:val="0"/>
        </w:rPr>
      </w:r>
    </w:p>
    <w:p w:rsidR="00000000" w:rsidDel="00000000" w:rsidP="00000000" w:rsidRDefault="00000000" w:rsidRPr="00000000" w14:paraId="0000013D">
      <w:pPr>
        <w:spacing w:after="160" w:line="276" w:lineRule="auto"/>
        <w:jc w:val="both"/>
        <w:rPr/>
      </w:pPr>
      <w:r w:rsidDel="00000000" w:rsidR="00000000" w:rsidRPr="00000000">
        <w:rPr>
          <w:sz w:val="22"/>
          <w:szCs w:val="22"/>
          <w:rtl w:val="0"/>
        </w:rPr>
        <w:t xml:space="preserve">14. Damian Raess, Wanlin Ren, and Patrick Wagner, "Hidden Strings Attached? Chinese (Commercially Oriented) Foreign Aid and International Political Alignment," Foreign Policy Analysis 18, no. 3 (July 2022), https://doi.org/10.1093/fpa/orac010.</w:t>
      </w:r>
      <w:r w:rsidDel="00000000" w:rsidR="00000000" w:rsidRPr="00000000">
        <w:rPr>
          <w:rtl w:val="0"/>
        </w:rPr>
      </w:r>
    </w:p>
    <w:p w:rsidR="00000000" w:rsidDel="00000000" w:rsidP="00000000" w:rsidRDefault="00000000" w:rsidRPr="00000000" w14:paraId="0000013E">
      <w:pPr>
        <w:spacing w:after="160" w:line="276" w:lineRule="auto"/>
        <w:jc w:val="both"/>
        <w:rPr/>
      </w:pPr>
      <w:r w:rsidDel="00000000" w:rsidR="00000000" w:rsidRPr="00000000">
        <w:rPr>
          <w:sz w:val="22"/>
          <w:szCs w:val="22"/>
          <w:rtl w:val="0"/>
        </w:rPr>
        <w:t xml:space="preserve">15. "Spot the Difference: Comparing the Belt and Road Initiative and the Partnership for Global Infrastructure and Investment," Boston University Global Development Policy Center Working Paper, 2022, https://www.bu.edu/gdp/files/2024/08/GCI-WP-039-ZCA-FIN.pdf.</w:t>
      </w:r>
      <w:r w:rsidDel="00000000" w:rsidR="00000000" w:rsidRPr="00000000">
        <w:rPr>
          <w:rtl w:val="0"/>
        </w:rPr>
      </w:r>
    </w:p>
    <w:p w:rsidR="00000000" w:rsidDel="00000000" w:rsidP="00000000" w:rsidRDefault="00000000" w:rsidRPr="00000000" w14:paraId="0000013F">
      <w:pPr>
        <w:spacing w:after="160" w:line="276" w:lineRule="auto"/>
        <w:jc w:val="both"/>
        <w:rPr/>
      </w:pPr>
      <w:r w:rsidDel="00000000" w:rsidR="00000000" w:rsidRPr="00000000">
        <w:rPr>
          <w:sz w:val="22"/>
          <w:szCs w:val="22"/>
          <w:rtl w:val="0"/>
        </w:rPr>
        <w:t xml:space="preserve">16. Gonzalo Escribano, "Ecuador's Energy Policy Mix: Development versus Conservation and Nationalism with Chinese Loans," Energy Policy 57 (2013): 152-159, https://doi.org/10.1016/j.enpol.2013.01.022.</w:t>
      </w:r>
      <w:r w:rsidDel="00000000" w:rsidR="00000000" w:rsidRPr="00000000">
        <w:rPr>
          <w:rtl w:val="0"/>
        </w:rPr>
      </w:r>
    </w:p>
    <w:p w:rsidR="00000000" w:rsidDel="00000000" w:rsidP="00000000" w:rsidRDefault="00000000" w:rsidRPr="00000000" w14:paraId="00000140">
      <w:pPr>
        <w:spacing w:after="160" w:line="276" w:lineRule="auto"/>
        <w:jc w:val="both"/>
        <w:rPr/>
      </w:pPr>
      <w:r w:rsidDel="00000000" w:rsidR="00000000" w:rsidRPr="00000000">
        <w:rPr>
          <w:sz w:val="22"/>
          <w:szCs w:val="22"/>
          <w:rtl w:val="0"/>
        </w:rPr>
        <w:t xml:space="preserve">17. Emma Miriam Yin-Hang To and Rodrigo Acuna, "China and Venezuela: South-South Cooperation or Rearticulated Dependency?," Latin American Perspectives 46, no. 2 (2019), https://doi.org/10.1177/0094582X18813574.</w:t>
      </w:r>
      <w:r w:rsidDel="00000000" w:rsidR="00000000" w:rsidRPr="00000000">
        <w:rPr>
          <w:rtl w:val="0"/>
        </w:rPr>
      </w:r>
    </w:p>
    <w:p w:rsidR="00000000" w:rsidDel="00000000" w:rsidP="00000000" w:rsidRDefault="00000000" w:rsidRPr="00000000" w14:paraId="00000141">
      <w:pPr>
        <w:spacing w:after="160" w:line="276" w:lineRule="auto"/>
        <w:jc w:val="both"/>
        <w:rPr/>
      </w:pPr>
      <w:r w:rsidDel="00000000" w:rsidR="00000000" w:rsidRPr="00000000">
        <w:rPr>
          <w:sz w:val="22"/>
          <w:szCs w:val="22"/>
          <w:rtl w:val="0"/>
        </w:rPr>
        <w:t xml:space="preserve">18. Michal Himmer and Zdenek Rod, "Chinese Debt Trap Diplomacy: Reality or Myth?," Journal of the Indian Ocean Region 18, no. 3 (2023): 250-272, https://doi.org/10.1080/19480881.2023.2195280.</w:t>
      </w:r>
      <w:r w:rsidDel="00000000" w:rsidR="00000000" w:rsidRPr="00000000">
        <w:rPr>
          <w:rtl w:val="0"/>
        </w:rPr>
      </w:r>
    </w:p>
    <w:p w:rsidR="00000000" w:rsidDel="00000000" w:rsidP="00000000" w:rsidRDefault="00000000" w:rsidRPr="00000000" w14:paraId="00000142">
      <w:pPr>
        <w:spacing w:after="160" w:line="276" w:lineRule="auto"/>
        <w:jc w:val="both"/>
        <w:rPr/>
      </w:pPr>
      <w:r w:rsidDel="00000000" w:rsidR="00000000" w:rsidRPr="00000000">
        <w:rPr>
          <w:sz w:val="22"/>
          <w:szCs w:val="22"/>
          <w:rtl w:val="0"/>
        </w:rPr>
        <w:t xml:space="preserve">19. U.S. Department of State, "About Us - Office of the U.S. Special Coordinator for the Partnership for Global Infrastructure and Investment," accessed July 2026, https://www.state.gov/about-us-office-of-the-u-s-special-coordinator-for-the-partnership-for-global-infrastructure-and-investment.</w:t>
      </w:r>
      <w:r w:rsidDel="00000000" w:rsidR="00000000" w:rsidRPr="00000000">
        <w:rPr>
          <w:rtl w:val="0"/>
        </w:rPr>
      </w:r>
    </w:p>
    <w:p w:rsidR="00000000" w:rsidDel="00000000" w:rsidP="00000000" w:rsidRDefault="00000000" w:rsidRPr="00000000" w14:paraId="00000143">
      <w:pPr>
        <w:spacing w:after="160" w:line="276" w:lineRule="auto"/>
        <w:jc w:val="both"/>
        <w:rPr/>
      </w:pPr>
      <w:r w:rsidDel="00000000" w:rsidR="00000000" w:rsidRPr="00000000">
        <w:rPr>
          <w:sz w:val="22"/>
          <w:szCs w:val="22"/>
          <w:rtl w:val="0"/>
        </w:rPr>
        <w:t xml:space="preserve">20. Zhu Ming, "The Partnership for Global Infrastructure and Investment: An Alternative for China's Belt and Road Initiative?," China Quarterly of International Strategic Studies (2022), https://doi.org/10.1142/S2377740022500087.</w:t>
      </w:r>
      <w:r w:rsidDel="00000000" w:rsidR="00000000" w:rsidRPr="00000000">
        <w:rPr>
          <w:rtl w:val="0"/>
        </w:rPr>
      </w:r>
    </w:p>
    <w:p w:rsidR="00000000" w:rsidDel="00000000" w:rsidP="00000000" w:rsidRDefault="00000000" w:rsidRPr="00000000" w14:paraId="00000144">
      <w:pPr>
        <w:spacing w:after="160" w:line="276" w:lineRule="auto"/>
        <w:jc w:val="both"/>
        <w:rPr/>
      </w:pPr>
      <w:r w:rsidDel="00000000" w:rsidR="00000000" w:rsidRPr="00000000">
        <w:rPr>
          <w:sz w:val="22"/>
          <w:szCs w:val="22"/>
          <w:rtl w:val="0"/>
        </w:rPr>
        <w:t xml:space="preserve">21. United States Institute of Peace, "Reviving Commercial Development of Afghanistan's Aynak Copper Resource," Peace Brief 233, September 2017, https://www.usip.org/publications/2017/09/reviving-commercial-development-afghanistans-aynak-copper-resource.</w:t>
      </w:r>
      <w:r w:rsidDel="00000000" w:rsidR="00000000" w:rsidRPr="00000000">
        <w:rPr>
          <w:rtl w:val="0"/>
        </w:rPr>
      </w:r>
    </w:p>
    <w:p w:rsidR="00000000" w:rsidDel="00000000" w:rsidP="00000000" w:rsidRDefault="00000000" w:rsidRPr="00000000" w14:paraId="00000145">
      <w:pPr>
        <w:spacing w:after="160" w:line="276" w:lineRule="auto"/>
        <w:jc w:val="both"/>
        <w:rPr/>
      </w:pPr>
      <w:r w:rsidDel="00000000" w:rsidR="00000000" w:rsidRPr="00000000">
        <w:rPr>
          <w:sz w:val="22"/>
          <w:szCs w:val="22"/>
          <w:rtl w:val="0"/>
        </w:rPr>
        <w:t xml:space="preserve">22. Wei Shen, "Chinese Investments in the Democratic Republic of Congo's Critical Minerals Sector: Adapting to the Emerging Neo-Extractivism Strategy," Resources Policy (2026), https://www.sciencedirect.com/science/article/abs/pii/S2214790X26000833.</w:t>
      </w:r>
      <w:r w:rsidDel="00000000" w:rsidR="00000000" w:rsidRPr="00000000">
        <w:rPr>
          <w:rtl w:val="0"/>
        </w:rPr>
      </w:r>
    </w:p>
    <w:p w:rsidR="00000000" w:rsidDel="00000000" w:rsidP="00000000" w:rsidRDefault="00000000" w:rsidRPr="00000000" w14:paraId="00000146">
      <w:pPr>
        <w:spacing w:after="160" w:line="276" w:lineRule="auto"/>
        <w:jc w:val="both"/>
        <w:rPr/>
      </w:pPr>
      <w:r w:rsidDel="00000000" w:rsidR="00000000" w:rsidRPr="00000000">
        <w:rPr>
          <w:sz w:val="22"/>
          <w:szCs w:val="22"/>
          <w:rtl w:val="0"/>
        </w:rPr>
        <w:t xml:space="preserve">23. White House, "FACT SHEET: President Biden Announces the Americas Partnership for Economic Prosperity," June 8, 2022, https://bidenwhitehouse.archives.gov/briefing-room/statements-releases/2022/06/08/fact-sheet-president-biden-announces-the-americas-partnership-for-economic-prosperity.</w:t>
      </w:r>
      <w:r w:rsidDel="00000000" w:rsidR="00000000" w:rsidRPr="00000000">
        <w:rPr>
          <w:rtl w:val="0"/>
        </w:rPr>
      </w:r>
    </w:p>
    <w:p w:rsidR="00000000" w:rsidDel="00000000" w:rsidP="00000000" w:rsidRDefault="00000000" w:rsidRPr="00000000" w14:paraId="00000147">
      <w:pPr>
        <w:spacing w:after="160" w:line="276" w:lineRule="auto"/>
        <w:jc w:val="both"/>
        <w:rPr/>
      </w:pPr>
      <w:r w:rsidDel="00000000" w:rsidR="00000000" w:rsidRPr="00000000">
        <w:rPr>
          <w:sz w:val="22"/>
          <w:szCs w:val="22"/>
          <w:rtl w:val="0"/>
        </w:rPr>
        <w:t xml:space="preserve">24. Atlantic Council, "What to Know about the Lobito Corridor and How It May Change How Minerals Move," AfricaSource, accessed July 2026, https://www.atlanticcouncil.org/blogs/africasource/what-to-know-about-the-lobito-corridor-and-how-it-may-change-how-minerals-move/.</w:t>
      </w:r>
      <w:r w:rsidDel="00000000" w:rsidR="00000000" w:rsidRPr="00000000">
        <w:rPr>
          <w:rtl w:val="0"/>
        </w:rPr>
      </w:r>
    </w:p>
    <w:p w:rsidR="00000000" w:rsidDel="00000000" w:rsidP="00000000" w:rsidRDefault="00000000" w:rsidRPr="00000000" w14:paraId="00000148">
      <w:pPr>
        <w:spacing w:after="160" w:line="276" w:lineRule="auto"/>
        <w:jc w:val="both"/>
        <w:rPr>
          <w:sz w:val="22"/>
          <w:szCs w:val="22"/>
        </w:rPr>
      </w:pPr>
      <w:r w:rsidDel="00000000" w:rsidR="00000000" w:rsidRPr="00000000">
        <w:rPr>
          <w:sz w:val="22"/>
          <w:szCs w:val="22"/>
          <w:rtl w:val="0"/>
        </w:rPr>
        <w:t xml:space="preserve">25. African Development Bank, "African Development Bank Joins Global Partners to Raise Financing for $1.6bn Multinational Lobito Transportation Corridor Programme," press release, accessed July 2026, https://www.afdb.org/en/news-and-events/press-releases/african-development-bank-joins-global-partners-raise-financing-16-bn-multinational-lobito-transportation-corridor-programme-65357.</w:t>
      </w:r>
      <w:r w:rsidDel="00000000" w:rsidR="00000000" w:rsidRPr="00000000">
        <w:br w:type="page"/>
      </w:r>
      <w:r w:rsidDel="00000000" w:rsidR="00000000" w:rsidRPr="00000000">
        <w:rPr>
          <w:rtl w:val="0"/>
        </w:rPr>
      </w:r>
    </w:p>
    <w:p w:rsidR="00000000" w:rsidDel="00000000" w:rsidP="00000000" w:rsidRDefault="00000000" w:rsidRPr="00000000" w14:paraId="00000149">
      <w:pPr>
        <w:spacing w:after="160" w:line="276" w:lineRule="auto"/>
        <w:jc w:val="both"/>
        <w:rPr/>
      </w:pPr>
      <w:r w:rsidDel="00000000" w:rsidR="00000000" w:rsidRPr="00000000">
        <w:rPr>
          <w:rtl w:val="0"/>
        </w:rPr>
      </w:r>
    </w:p>
    <w:p w:rsidR="00000000" w:rsidDel="00000000" w:rsidP="00000000" w:rsidRDefault="00000000" w:rsidRPr="00000000" w14:paraId="0000014A">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Notes — China in Pakistan: How Instability and Resources Ousted the West</w:t>
      </w:r>
      <w:r w:rsidDel="00000000" w:rsidR="00000000" w:rsidRPr="00000000">
        <w:rPr>
          <w:rtl w:val="0"/>
        </w:rPr>
      </w:r>
    </w:p>
    <w:p w:rsidR="00000000" w:rsidDel="00000000" w:rsidP="00000000" w:rsidRDefault="00000000" w:rsidRPr="00000000" w14:paraId="0000014B">
      <w:pPr>
        <w:spacing w:after="160" w:line="276" w:lineRule="auto"/>
        <w:jc w:val="both"/>
        <w:rPr/>
      </w:pPr>
      <w:r w:rsidDel="00000000" w:rsidR="00000000" w:rsidRPr="00000000">
        <w:rPr>
          <w:sz w:val="22"/>
          <w:szCs w:val="22"/>
          <w:rtl w:val="0"/>
        </w:rPr>
        <w:t xml:space="preserve">1. Council on Foreign Relations, "China, the United States, and Critical Chokepoint Minerals," accessed July 2026, https://www.cfr.org/articles/china-united-states-and-critical-chokepoint-minerals.</w:t>
      </w:r>
      <w:r w:rsidDel="00000000" w:rsidR="00000000" w:rsidRPr="00000000">
        <w:rPr>
          <w:rtl w:val="0"/>
        </w:rPr>
      </w:r>
    </w:p>
    <w:p w:rsidR="00000000" w:rsidDel="00000000" w:rsidP="00000000" w:rsidRDefault="00000000" w:rsidRPr="00000000" w14:paraId="0000014C">
      <w:pPr>
        <w:spacing w:after="160" w:line="276" w:lineRule="auto"/>
        <w:jc w:val="both"/>
        <w:rPr/>
      </w:pPr>
      <w:r w:rsidDel="00000000" w:rsidR="00000000" w:rsidRPr="00000000">
        <w:rPr>
          <w:sz w:val="22"/>
          <w:szCs w:val="22"/>
          <w:rtl w:val="0"/>
        </w:rPr>
        <w:t xml:space="preserve">2. "China-Pakistan Economic Corridor," Encyclopaedia Britannica, accessed July 2026, https://www.britannica.com/topic/China-Pakistan-Economic-Corridor.</w:t>
      </w:r>
      <w:r w:rsidDel="00000000" w:rsidR="00000000" w:rsidRPr="00000000">
        <w:rPr>
          <w:rtl w:val="0"/>
        </w:rPr>
      </w:r>
    </w:p>
    <w:p w:rsidR="00000000" w:rsidDel="00000000" w:rsidP="00000000" w:rsidRDefault="00000000" w:rsidRPr="00000000" w14:paraId="0000014D">
      <w:pPr>
        <w:spacing w:after="160" w:line="276" w:lineRule="auto"/>
        <w:jc w:val="both"/>
        <w:rPr/>
      </w:pPr>
      <w:r w:rsidDel="00000000" w:rsidR="00000000" w:rsidRPr="00000000">
        <w:rPr>
          <w:sz w:val="22"/>
          <w:szCs w:val="22"/>
          <w:rtl w:val="0"/>
        </w:rPr>
        <w:t xml:space="preserve">3. U.S. International Development Finance Corporation, "DFC Highlights Landmark Critical Minerals Investments to Strengthen U.S. National Security," press release, accessed July 2026, https://www.dfc.gov/media/press-releases/dfc-highlights-landmark-critical-minerals-investments-strengthen-us-national.</w:t>
      </w:r>
      <w:r w:rsidDel="00000000" w:rsidR="00000000" w:rsidRPr="00000000">
        <w:rPr>
          <w:rtl w:val="0"/>
        </w:rPr>
      </w:r>
    </w:p>
    <w:p w:rsidR="00000000" w:rsidDel="00000000" w:rsidP="00000000" w:rsidRDefault="00000000" w:rsidRPr="00000000" w14:paraId="0000014E">
      <w:pPr>
        <w:spacing w:after="160" w:line="276" w:lineRule="auto"/>
        <w:jc w:val="both"/>
        <w:rPr/>
      </w:pPr>
      <w:r w:rsidDel="00000000" w:rsidR="00000000" w:rsidRPr="00000000">
        <w:rPr>
          <w:sz w:val="22"/>
          <w:szCs w:val="22"/>
          <w:rtl w:val="0"/>
        </w:rPr>
        <w:t xml:space="preserve">4. "China-Pakistan Economic Corridor," Encyclopaedia Britannica, accessed July 2026, https://www.britannica.com/topic/China-Pakistan-Economic-Corridor.</w:t>
      </w:r>
      <w:r w:rsidDel="00000000" w:rsidR="00000000" w:rsidRPr="00000000">
        <w:rPr>
          <w:rtl w:val="0"/>
        </w:rPr>
      </w:r>
    </w:p>
    <w:p w:rsidR="00000000" w:rsidDel="00000000" w:rsidP="00000000" w:rsidRDefault="00000000" w:rsidRPr="00000000" w14:paraId="0000014F">
      <w:pPr>
        <w:spacing w:after="160" w:line="276" w:lineRule="auto"/>
        <w:jc w:val="both"/>
        <w:rPr/>
      </w:pPr>
      <w:r w:rsidDel="00000000" w:rsidR="00000000" w:rsidRPr="00000000">
        <w:rPr>
          <w:sz w:val="22"/>
          <w:szCs w:val="22"/>
          <w:rtl w:val="0"/>
        </w:rPr>
        <w:t xml:space="preserve">5. Dawn, "Pakistan Minerals Investment Forum Held in Islamabad," April 2026, https://www.dawn.com/news/1970792.</w:t>
      </w:r>
      <w:r w:rsidDel="00000000" w:rsidR="00000000" w:rsidRPr="00000000">
        <w:rPr>
          <w:rtl w:val="0"/>
        </w:rPr>
      </w:r>
    </w:p>
    <w:p w:rsidR="00000000" w:rsidDel="00000000" w:rsidP="00000000" w:rsidRDefault="00000000" w:rsidRPr="00000000" w14:paraId="00000150">
      <w:pPr>
        <w:spacing w:after="160" w:line="276" w:lineRule="auto"/>
        <w:jc w:val="both"/>
        <w:rPr/>
      </w:pPr>
      <w:r w:rsidDel="00000000" w:rsidR="00000000" w:rsidRPr="00000000">
        <w:rPr>
          <w:sz w:val="22"/>
          <w:szCs w:val="22"/>
          <w:rtl w:val="0"/>
        </w:rPr>
        <w:t xml:space="preserve">6. Abdul Basit, "Quetta Train Bombing Points to Escalating Insurgent Violence in Balochistan," The Diplomat, June 4, 2026, https://thediplomat.com/2026/06/quetta-train-bombing-points-to-escalating-insurgent-violence-in-balochistan/.</w:t>
      </w:r>
      <w:r w:rsidDel="00000000" w:rsidR="00000000" w:rsidRPr="00000000">
        <w:rPr>
          <w:rtl w:val="0"/>
        </w:rPr>
      </w:r>
    </w:p>
    <w:p w:rsidR="00000000" w:rsidDel="00000000" w:rsidP="00000000" w:rsidRDefault="00000000" w:rsidRPr="00000000" w14:paraId="00000151">
      <w:pPr>
        <w:spacing w:after="160" w:line="276" w:lineRule="auto"/>
        <w:jc w:val="both"/>
        <w:rPr/>
      </w:pPr>
      <w:r w:rsidDel="00000000" w:rsidR="00000000" w:rsidRPr="00000000">
        <w:rPr>
          <w:sz w:val="22"/>
          <w:szCs w:val="22"/>
          <w:rtl w:val="0"/>
        </w:rPr>
        <w:t xml:space="preserve">7. Barrick Gold, "Barrick Provides an Update on Reko Diq," news release, 2026, https://www.barrick.com/English/news/news-details/2026/barrick-provides-an-update-on-reko-diq/default.aspx.</w:t>
      </w:r>
      <w:r w:rsidDel="00000000" w:rsidR="00000000" w:rsidRPr="00000000">
        <w:rPr>
          <w:rtl w:val="0"/>
        </w:rPr>
      </w:r>
    </w:p>
    <w:p w:rsidR="00000000" w:rsidDel="00000000" w:rsidP="00000000" w:rsidRDefault="00000000" w:rsidRPr="00000000" w14:paraId="00000152">
      <w:pPr>
        <w:spacing w:after="160" w:line="276" w:lineRule="auto"/>
        <w:jc w:val="both"/>
        <w:rPr/>
      </w:pPr>
      <w:r w:rsidDel="00000000" w:rsidR="00000000" w:rsidRPr="00000000">
        <w:rPr>
          <w:sz w:val="22"/>
          <w:szCs w:val="22"/>
          <w:rtl w:val="0"/>
        </w:rPr>
        <w:t xml:space="preserve">8. Center for Strategic and International Studies, "How to Reform the DFC to Meet U.S. Critical Minerals Security Needs," accessed July 2026, https://www.csis.org/analysis/how-reform-dfc-meet-us-critical-minerals-security-needs.</w:t>
      </w:r>
      <w:r w:rsidDel="00000000" w:rsidR="00000000" w:rsidRPr="00000000">
        <w:rPr>
          <w:rtl w:val="0"/>
        </w:rPr>
      </w:r>
    </w:p>
    <w:p w:rsidR="00000000" w:rsidDel="00000000" w:rsidP="00000000" w:rsidRDefault="00000000" w:rsidRPr="00000000" w14:paraId="00000153">
      <w:pPr>
        <w:spacing w:after="160" w:line="276" w:lineRule="auto"/>
        <w:jc w:val="both"/>
        <w:rPr/>
      </w:pPr>
      <w:r w:rsidDel="00000000" w:rsidR="00000000" w:rsidRPr="00000000">
        <w:rPr>
          <w:sz w:val="22"/>
          <w:szCs w:val="22"/>
          <w:rtl w:val="0"/>
        </w:rPr>
        <w:t xml:space="preserve">9. Arab News, "Barrick Gold and the Politics of Western Mining Capital in Pakistan," accessed July 2026, https://www.arabnews.com/node/2631914/pakistan.</w:t>
      </w:r>
      <w:r w:rsidDel="00000000" w:rsidR="00000000" w:rsidRPr="00000000">
        <w:rPr>
          <w:rtl w:val="0"/>
        </w:rPr>
      </w:r>
    </w:p>
    <w:p w:rsidR="00000000" w:rsidDel="00000000" w:rsidP="00000000" w:rsidRDefault="00000000" w:rsidRPr="00000000" w14:paraId="00000154">
      <w:pPr>
        <w:spacing w:after="160" w:line="276" w:lineRule="auto"/>
        <w:jc w:val="both"/>
        <w:rPr/>
      </w:pPr>
      <w:r w:rsidDel="00000000" w:rsidR="00000000" w:rsidRPr="00000000">
        <w:rPr>
          <w:sz w:val="22"/>
          <w:szCs w:val="22"/>
          <w:rtl w:val="0"/>
        </w:rPr>
        <w:t xml:space="preserve">10. Hindu Post, "The Curse of Balochistan: Unveiling the Reality Behind CPEC," accessed July 2026, https://hindupost.in/world/pakistan/the-curse-of-balochistan-unveiling-the-reality-behind-cpec/.</w:t>
      </w:r>
      <w:r w:rsidDel="00000000" w:rsidR="00000000" w:rsidRPr="00000000">
        <w:rPr>
          <w:rtl w:val="0"/>
        </w:rPr>
      </w:r>
    </w:p>
    <w:p w:rsidR="00000000" w:rsidDel="00000000" w:rsidP="00000000" w:rsidRDefault="00000000" w:rsidRPr="00000000" w14:paraId="00000155">
      <w:pPr>
        <w:spacing w:after="160" w:line="276" w:lineRule="auto"/>
        <w:jc w:val="both"/>
        <w:rPr/>
      </w:pPr>
      <w:r w:rsidDel="00000000" w:rsidR="00000000" w:rsidRPr="00000000">
        <w:rPr>
          <w:sz w:val="22"/>
          <w:szCs w:val="22"/>
          <w:rtl w:val="0"/>
        </w:rPr>
        <w:t xml:space="preserve">11. The Hans India, "Balochistan Plunges Deeper into Poverty as Islamabad Takes Away Mineral Wealth," accessed July 2026, https://www.thehansindia.com/news/national/balochistan-plunges-deeper-into-poverty-as-islamabad-takes-away-mineral-wealth-1056072.</w:t>
      </w:r>
      <w:r w:rsidDel="00000000" w:rsidR="00000000" w:rsidRPr="00000000">
        <w:rPr>
          <w:rtl w:val="0"/>
        </w:rPr>
      </w:r>
    </w:p>
    <w:p w:rsidR="00000000" w:rsidDel="00000000" w:rsidP="00000000" w:rsidRDefault="00000000" w:rsidRPr="00000000" w14:paraId="00000156">
      <w:pPr>
        <w:spacing w:after="160" w:line="276" w:lineRule="auto"/>
        <w:jc w:val="both"/>
        <w:rPr/>
      </w:pPr>
      <w:r w:rsidDel="00000000" w:rsidR="00000000" w:rsidRPr="00000000">
        <w:rPr>
          <w:sz w:val="22"/>
          <w:szCs w:val="22"/>
          <w:rtl w:val="0"/>
        </w:rPr>
        <w:t xml:space="preserve">12. Center for Strategic and International Studies, "Minerals Diplomacy Meets Market Reality: The Case of Pakistan," accessed July 2026, https://www.csis.org/analysis/minerals-diplomacy-meets-market-reality-case-pakistan.</w:t>
      </w:r>
      <w:r w:rsidDel="00000000" w:rsidR="00000000" w:rsidRPr="00000000">
        <w:rPr>
          <w:rtl w:val="0"/>
        </w:rPr>
      </w:r>
    </w:p>
    <w:p w:rsidR="00000000" w:rsidDel="00000000" w:rsidP="00000000" w:rsidRDefault="00000000" w:rsidRPr="00000000" w14:paraId="00000157">
      <w:pPr>
        <w:spacing w:after="160" w:line="276" w:lineRule="auto"/>
        <w:jc w:val="both"/>
        <w:rPr/>
      </w:pPr>
      <w:r w:rsidDel="00000000" w:rsidR="00000000" w:rsidRPr="00000000">
        <w:rPr>
          <w:sz w:val="22"/>
          <w:szCs w:val="22"/>
          <w:rtl w:val="0"/>
        </w:rPr>
        <w:t xml:space="preserve">13. Center for Global Development, "DFC, Critical Minerals, and Peace in the DRC," accessed July 2026, https://www.cgdev.org/blog/dfc-critical-minerals-and-peace-drc.</w:t>
      </w:r>
      <w:r w:rsidDel="00000000" w:rsidR="00000000" w:rsidRPr="00000000">
        <w:rPr>
          <w:rtl w:val="0"/>
        </w:rPr>
      </w:r>
    </w:p>
    <w:p w:rsidR="00000000" w:rsidDel="00000000" w:rsidP="00000000" w:rsidRDefault="00000000" w:rsidRPr="00000000" w14:paraId="00000158">
      <w:pPr>
        <w:spacing w:after="160" w:line="276" w:lineRule="auto"/>
        <w:jc w:val="both"/>
        <w:rPr/>
      </w:pPr>
      <w:r w:rsidDel="00000000" w:rsidR="00000000" w:rsidRPr="00000000">
        <w:rPr>
          <w:sz w:val="22"/>
          <w:szCs w:val="22"/>
          <w:rtl w:val="0"/>
        </w:rPr>
        <w:t xml:space="preserve">14. Ayush Verma, Imtiaz Baloch, and Riccardo Valle, "The Baloch Insurgency in Pakistan: Evolution, Tactics, and Regional Security Implications," CTC Sentinel 18, no. 4 (April 2025), https://ctc.westpoint.edu/the-baloch-insurgency-in-pakistan-evolution-tactics-and-regional-security-implications/.</w:t>
      </w:r>
      <w:r w:rsidDel="00000000" w:rsidR="00000000" w:rsidRPr="00000000">
        <w:rPr>
          <w:rtl w:val="0"/>
        </w:rPr>
      </w:r>
    </w:p>
    <w:p w:rsidR="00000000" w:rsidDel="00000000" w:rsidP="00000000" w:rsidRDefault="00000000" w:rsidRPr="00000000" w14:paraId="00000159">
      <w:pPr>
        <w:spacing w:after="160" w:line="276" w:lineRule="auto"/>
        <w:jc w:val="both"/>
        <w:rPr/>
      </w:pPr>
      <w:r w:rsidDel="00000000" w:rsidR="00000000" w:rsidRPr="00000000">
        <w:rPr>
          <w:sz w:val="22"/>
          <w:szCs w:val="22"/>
          <w:rtl w:val="0"/>
        </w:rPr>
        <w:t xml:space="preserve">15. Ayush Verma, Imtiaz Baloch, and Riccardo Valle, "The Baloch Insurgency in Pakistan: Evolution, Tactics, and Regional Security Implications," CTC Sentinel 18, no. 4 (April 2025), https://ctc.westpoint.edu/the-baloch-insurgency-in-pakistan-evolution-tactics-and-regional-security-implications/.</w:t>
      </w:r>
      <w:r w:rsidDel="00000000" w:rsidR="00000000" w:rsidRPr="00000000">
        <w:rPr>
          <w:rtl w:val="0"/>
        </w:rPr>
      </w:r>
    </w:p>
    <w:p w:rsidR="00000000" w:rsidDel="00000000" w:rsidP="00000000" w:rsidRDefault="00000000" w:rsidRPr="00000000" w14:paraId="0000015A">
      <w:pPr>
        <w:spacing w:after="160" w:line="276" w:lineRule="auto"/>
        <w:jc w:val="both"/>
        <w:rPr/>
      </w:pPr>
      <w:r w:rsidDel="00000000" w:rsidR="00000000" w:rsidRPr="00000000">
        <w:rPr>
          <w:sz w:val="22"/>
          <w:szCs w:val="22"/>
          <w:rtl w:val="0"/>
        </w:rPr>
        <w:t xml:space="preserve">16. Abdul Basit, "Quetta Train Bombing Points to Escalating Insurgent Violence in Balochistan," The Diplomat, June 4, 2026, https://thediplomat.com/2026/06/quetta-train-bombing-points-to-escalating-insurgent-violence-in-balochistan/.</w:t>
      </w:r>
      <w:r w:rsidDel="00000000" w:rsidR="00000000" w:rsidRPr="00000000">
        <w:rPr>
          <w:rtl w:val="0"/>
        </w:rPr>
      </w:r>
    </w:p>
    <w:p w:rsidR="00000000" w:rsidDel="00000000" w:rsidP="00000000" w:rsidRDefault="00000000" w:rsidRPr="00000000" w14:paraId="0000015B">
      <w:pPr>
        <w:spacing w:after="160" w:line="276" w:lineRule="auto"/>
        <w:jc w:val="both"/>
        <w:rPr/>
      </w:pPr>
      <w:r w:rsidDel="00000000" w:rsidR="00000000" w:rsidRPr="00000000">
        <w:rPr>
          <w:sz w:val="22"/>
          <w:szCs w:val="22"/>
          <w:rtl w:val="0"/>
        </w:rPr>
        <w:t xml:space="preserve">17. Abdul Basit, "Quetta Train Bombing Points to Escalating Insurgent Violence in Balochistan," The Diplomat, June 4, 2026, https://thediplomat.com/2026/06/quetta-train-bombing-points-to-escalating-insurgent-violence-in-balochistan/.</w:t>
      </w:r>
      <w:r w:rsidDel="00000000" w:rsidR="00000000" w:rsidRPr="00000000">
        <w:rPr>
          <w:rtl w:val="0"/>
        </w:rPr>
      </w:r>
    </w:p>
    <w:p w:rsidR="00000000" w:rsidDel="00000000" w:rsidP="00000000" w:rsidRDefault="00000000" w:rsidRPr="00000000" w14:paraId="0000015C">
      <w:pPr>
        <w:spacing w:after="160" w:line="276" w:lineRule="auto"/>
        <w:jc w:val="both"/>
        <w:rPr/>
      </w:pPr>
      <w:r w:rsidDel="00000000" w:rsidR="00000000" w:rsidRPr="00000000">
        <w:rPr>
          <w:sz w:val="22"/>
          <w:szCs w:val="22"/>
          <w:rtl w:val="0"/>
        </w:rPr>
        <w:t xml:space="preserve">18. Institute for Economics and Peace, Global Terrorism Index 2026 (Sydney: IEP, 2026), https://www.visionofhumanity.org/wp-content/uploads/2026/03/Global-Terrorism-Index-2026-Report.pdf.</w:t>
      </w:r>
      <w:r w:rsidDel="00000000" w:rsidR="00000000" w:rsidRPr="00000000">
        <w:rPr>
          <w:rtl w:val="0"/>
        </w:rPr>
      </w:r>
    </w:p>
    <w:p w:rsidR="00000000" w:rsidDel="00000000" w:rsidP="00000000" w:rsidRDefault="00000000" w:rsidRPr="00000000" w14:paraId="0000015D">
      <w:pPr>
        <w:spacing w:after="160" w:line="276" w:lineRule="auto"/>
        <w:jc w:val="both"/>
        <w:rPr/>
      </w:pPr>
      <w:r w:rsidDel="00000000" w:rsidR="00000000" w:rsidRPr="00000000">
        <w:rPr>
          <w:sz w:val="22"/>
          <w:szCs w:val="22"/>
          <w:rtl w:val="0"/>
        </w:rPr>
        <w:t xml:space="preserve">19. Cynthia I. Ugwu, "Between Insurgency and Terrorism: The Escalating Operational Sophistication of the Balochistan Liberation Army, 2005-2025," Small Wars &amp; Insurgencies 37, no. 1 (2025): 83-108, https://doi.org/10.1080/09592318.2025.2581001.</w:t>
      </w:r>
      <w:r w:rsidDel="00000000" w:rsidR="00000000" w:rsidRPr="00000000">
        <w:rPr>
          <w:rtl w:val="0"/>
        </w:rPr>
      </w:r>
    </w:p>
    <w:p w:rsidR="00000000" w:rsidDel="00000000" w:rsidP="00000000" w:rsidRDefault="00000000" w:rsidRPr="00000000" w14:paraId="0000015E">
      <w:pPr>
        <w:spacing w:after="160" w:line="276" w:lineRule="auto"/>
        <w:jc w:val="both"/>
        <w:rPr/>
      </w:pPr>
      <w:r w:rsidDel="00000000" w:rsidR="00000000" w:rsidRPr="00000000">
        <w:rPr>
          <w:sz w:val="22"/>
          <w:szCs w:val="22"/>
          <w:rtl w:val="0"/>
        </w:rPr>
        <w:t xml:space="preserve">20. Wikipedia, s.v. "2025 Jaffar Express hijacking," accessed July 2026, https://en.wikipedia.org/wiki/2025_Jaffar_Express_hijacking.</w:t>
      </w:r>
      <w:r w:rsidDel="00000000" w:rsidR="00000000" w:rsidRPr="00000000">
        <w:rPr>
          <w:rtl w:val="0"/>
        </w:rPr>
      </w:r>
    </w:p>
    <w:p w:rsidR="00000000" w:rsidDel="00000000" w:rsidP="00000000" w:rsidRDefault="00000000" w:rsidRPr="00000000" w14:paraId="0000015F">
      <w:pPr>
        <w:spacing w:after="160" w:line="276" w:lineRule="auto"/>
        <w:jc w:val="both"/>
        <w:rPr/>
      </w:pPr>
      <w:r w:rsidDel="00000000" w:rsidR="00000000" w:rsidRPr="00000000">
        <w:rPr>
          <w:sz w:val="22"/>
          <w:szCs w:val="22"/>
          <w:rtl w:val="0"/>
        </w:rPr>
        <w:t xml:space="preserve">21. Al Jazeera, "Train Bomb in Pakistan's Baloch Region: Why Violence Is on the Rise," May 25, 2026, https://www.aljazeera.com/news/2026/5/25/train-bomb-in-pakistans-baloch-region-why-violence-is-on-the-rise.</w:t>
      </w:r>
      <w:r w:rsidDel="00000000" w:rsidR="00000000" w:rsidRPr="00000000">
        <w:rPr>
          <w:rtl w:val="0"/>
        </w:rPr>
      </w:r>
    </w:p>
    <w:p w:rsidR="00000000" w:rsidDel="00000000" w:rsidP="00000000" w:rsidRDefault="00000000" w:rsidRPr="00000000" w14:paraId="00000160">
      <w:pPr>
        <w:spacing w:after="160" w:line="276" w:lineRule="auto"/>
        <w:jc w:val="both"/>
        <w:rPr/>
      </w:pPr>
      <w:r w:rsidDel="00000000" w:rsidR="00000000" w:rsidRPr="00000000">
        <w:rPr>
          <w:sz w:val="22"/>
          <w:szCs w:val="22"/>
          <w:rtl w:val="0"/>
        </w:rPr>
        <w:t xml:space="preserve">22. Mining Technology, "Barrick Slows Operations at Reko Diq, Pakistan," accessed July 2026, https://www.mining-technology.com/news/barrick-slows-operations-reko-diq-pakistan/.</w:t>
      </w:r>
      <w:r w:rsidDel="00000000" w:rsidR="00000000" w:rsidRPr="00000000">
        <w:rPr>
          <w:rtl w:val="0"/>
        </w:rPr>
      </w:r>
    </w:p>
    <w:p w:rsidR="00000000" w:rsidDel="00000000" w:rsidP="00000000" w:rsidRDefault="00000000" w:rsidRPr="00000000" w14:paraId="00000161">
      <w:pPr>
        <w:spacing w:after="160" w:line="276" w:lineRule="auto"/>
        <w:jc w:val="both"/>
        <w:rPr/>
      </w:pPr>
      <w:r w:rsidDel="00000000" w:rsidR="00000000" w:rsidRPr="00000000">
        <w:rPr>
          <w:sz w:val="22"/>
          <w:szCs w:val="22"/>
          <w:rtl w:val="0"/>
        </w:rPr>
        <w:t xml:space="preserve">23. Wikipedia, s.v. "2026 Balochistan attacks," accessed July 2026, https://en.wikipedia.org/wiki/2026_Balochistan_attacks.</w:t>
      </w:r>
      <w:r w:rsidDel="00000000" w:rsidR="00000000" w:rsidRPr="00000000">
        <w:rPr>
          <w:rtl w:val="0"/>
        </w:rPr>
      </w:r>
    </w:p>
    <w:p w:rsidR="00000000" w:rsidDel="00000000" w:rsidP="00000000" w:rsidRDefault="00000000" w:rsidRPr="00000000" w14:paraId="00000162">
      <w:pPr>
        <w:spacing w:after="160" w:line="276" w:lineRule="auto"/>
        <w:jc w:val="both"/>
        <w:rPr/>
      </w:pPr>
      <w:r w:rsidDel="00000000" w:rsidR="00000000" w:rsidRPr="00000000">
        <w:rPr>
          <w:sz w:val="22"/>
          <w:szCs w:val="22"/>
          <w:rtl w:val="0"/>
        </w:rPr>
        <w:t xml:space="preserve">24. Manufacturing.net, "US Metals Company Signs $500M Investment Deal with Pakistan," accessed July 2026, https://www.manufacturing.net/operations/news/22949663/us-metals-company-signs-500m-investment-deal-with-pakistan.</w:t>
      </w:r>
      <w:r w:rsidDel="00000000" w:rsidR="00000000" w:rsidRPr="00000000">
        <w:rPr>
          <w:rtl w:val="0"/>
        </w:rPr>
      </w:r>
    </w:p>
    <w:p w:rsidR="00000000" w:rsidDel="00000000" w:rsidP="00000000" w:rsidRDefault="00000000" w:rsidRPr="00000000" w14:paraId="00000163">
      <w:pPr>
        <w:spacing w:after="160" w:line="276" w:lineRule="auto"/>
        <w:jc w:val="both"/>
        <w:rPr/>
      </w:pPr>
      <w:r w:rsidDel="00000000" w:rsidR="00000000" w:rsidRPr="00000000">
        <w:rPr>
          <w:sz w:val="22"/>
          <w:szCs w:val="22"/>
          <w:rtl w:val="0"/>
        </w:rPr>
        <w:t xml:space="preserve">25. Barrick Gold, "Barrick Provides an Update on Reko Diq," news release, 2026, https://www.barrick.com/English/news/news-details/2026/barrick-provides-an-update-on-reko-diq/default.aspx.</w:t>
      </w:r>
      <w:r w:rsidDel="00000000" w:rsidR="00000000" w:rsidRPr="00000000">
        <w:rPr>
          <w:rtl w:val="0"/>
        </w:rPr>
      </w:r>
    </w:p>
    <w:p w:rsidR="00000000" w:rsidDel="00000000" w:rsidP="00000000" w:rsidRDefault="00000000" w:rsidRPr="00000000" w14:paraId="00000164">
      <w:pPr>
        <w:spacing w:after="160" w:line="276" w:lineRule="auto"/>
        <w:jc w:val="both"/>
        <w:rPr/>
      </w:pPr>
      <w:r w:rsidDel="00000000" w:rsidR="00000000" w:rsidRPr="00000000">
        <w:rPr>
          <w:sz w:val="22"/>
          <w:szCs w:val="22"/>
          <w:rtl w:val="0"/>
        </w:rPr>
        <w:t xml:space="preserve">26. Geopolitical Monitor, "Shooting for the Stars with a Paper Airplane: The US-Pakistan Rare Earths Deal," accessed July 2026, https://www.geopoliticalmonitor.com/shooting-for-the-stars-with-a-paper-airplane-the-us-pakistan-rare-earths-deal/.</w:t>
      </w:r>
      <w:r w:rsidDel="00000000" w:rsidR="00000000" w:rsidRPr="00000000">
        <w:rPr>
          <w:rtl w:val="0"/>
        </w:rPr>
      </w:r>
    </w:p>
    <w:p w:rsidR="00000000" w:rsidDel="00000000" w:rsidP="00000000" w:rsidRDefault="00000000" w:rsidRPr="00000000" w14:paraId="00000165">
      <w:pPr>
        <w:spacing w:after="160" w:line="276" w:lineRule="auto"/>
        <w:jc w:val="both"/>
        <w:rPr/>
      </w:pPr>
      <w:r w:rsidDel="00000000" w:rsidR="00000000" w:rsidRPr="00000000">
        <w:rPr>
          <w:sz w:val="22"/>
          <w:szCs w:val="22"/>
          <w:rtl w:val="0"/>
        </w:rPr>
        <w:t xml:space="preserve">27. Arab News, "Barrick Gold and the Politics of Western Mining Capital in Pakistan," accessed July 2026, https://www.arabnews.com/node/2631914/pakistan.</w:t>
      </w:r>
      <w:r w:rsidDel="00000000" w:rsidR="00000000" w:rsidRPr="00000000">
        <w:rPr>
          <w:rtl w:val="0"/>
        </w:rPr>
      </w:r>
    </w:p>
    <w:p w:rsidR="00000000" w:rsidDel="00000000" w:rsidP="00000000" w:rsidRDefault="00000000" w:rsidRPr="00000000" w14:paraId="00000166">
      <w:pPr>
        <w:spacing w:after="160" w:line="276" w:lineRule="auto"/>
        <w:jc w:val="both"/>
        <w:rPr/>
      </w:pPr>
      <w:r w:rsidDel="00000000" w:rsidR="00000000" w:rsidRPr="00000000">
        <w:rPr>
          <w:sz w:val="22"/>
          <w:szCs w:val="22"/>
          <w:rtl w:val="0"/>
        </w:rPr>
        <w:t xml:space="preserve">28. Center for Strategic and International Studies, "How to Reform the DFC to Meet U.S. Critical Minerals Security Needs," accessed July 2026, https://www.csis.org/analysis/how-reform-dfc-meet-us-critical-minerals-security-needs.</w:t>
      </w:r>
      <w:r w:rsidDel="00000000" w:rsidR="00000000" w:rsidRPr="00000000">
        <w:rPr>
          <w:rtl w:val="0"/>
        </w:rPr>
      </w:r>
    </w:p>
    <w:p w:rsidR="00000000" w:rsidDel="00000000" w:rsidP="00000000" w:rsidRDefault="00000000" w:rsidRPr="00000000" w14:paraId="00000167">
      <w:pPr>
        <w:spacing w:after="160" w:line="276" w:lineRule="auto"/>
        <w:jc w:val="both"/>
        <w:rPr/>
      </w:pPr>
      <w:r w:rsidDel="00000000" w:rsidR="00000000" w:rsidRPr="00000000">
        <w:rPr>
          <w:sz w:val="22"/>
          <w:szCs w:val="22"/>
          <w:rtl w:val="0"/>
        </w:rPr>
        <w:t xml:space="preserve">29. U.S. International Development Finance Corporation, "DFC Joins $18 Billion Consortium to Secure Critical Mineral Supply Chains," press release, accessed July 2026, https://www.dfc.gov/media/press-releases/dfc-joins-18-billion-consortium-secure-critical-mineral-supply-chains-and.</w:t>
      </w:r>
      <w:r w:rsidDel="00000000" w:rsidR="00000000" w:rsidRPr="00000000">
        <w:rPr>
          <w:rtl w:val="0"/>
        </w:rPr>
      </w:r>
    </w:p>
    <w:p w:rsidR="00000000" w:rsidDel="00000000" w:rsidP="00000000" w:rsidRDefault="00000000" w:rsidRPr="00000000" w14:paraId="00000168">
      <w:pPr>
        <w:spacing w:after="160" w:line="276" w:lineRule="auto"/>
        <w:jc w:val="both"/>
        <w:rPr/>
      </w:pPr>
      <w:r w:rsidDel="00000000" w:rsidR="00000000" w:rsidRPr="00000000">
        <w:rPr>
          <w:sz w:val="22"/>
          <w:szCs w:val="22"/>
          <w:rtl w:val="0"/>
        </w:rPr>
        <w:t xml:space="preserve">30. The Week, "Pakistan and the Expanding US Critical Minerals Agenda," February 11, 2026, https://www.theweek.in/news/biz-tech/2026/02/11/opinion-guest-pakistan-expanding-us-critical-minerals-agenda.html.</w:t>
      </w:r>
      <w:r w:rsidDel="00000000" w:rsidR="00000000" w:rsidRPr="00000000">
        <w:rPr>
          <w:rtl w:val="0"/>
        </w:rPr>
      </w:r>
    </w:p>
    <w:p w:rsidR="00000000" w:rsidDel="00000000" w:rsidP="00000000" w:rsidRDefault="00000000" w:rsidRPr="00000000" w14:paraId="00000169">
      <w:pPr>
        <w:spacing w:after="160" w:line="276" w:lineRule="auto"/>
        <w:jc w:val="both"/>
        <w:rPr/>
      </w:pPr>
      <w:r w:rsidDel="00000000" w:rsidR="00000000" w:rsidRPr="00000000">
        <w:rPr>
          <w:sz w:val="22"/>
          <w:szCs w:val="22"/>
          <w:rtl w:val="0"/>
        </w:rPr>
        <w:t xml:space="preserve">31. Multilateral Investment Guarantee Agency, "Political Risk Insurance," accessed July 2026, https://www.miga.org/political-risk-insurance.</w:t>
      </w:r>
      <w:r w:rsidDel="00000000" w:rsidR="00000000" w:rsidRPr="00000000">
        <w:rPr>
          <w:rtl w:val="0"/>
        </w:rPr>
      </w:r>
    </w:p>
    <w:p w:rsidR="00000000" w:rsidDel="00000000" w:rsidP="00000000" w:rsidRDefault="00000000" w:rsidRPr="00000000" w14:paraId="0000016A">
      <w:pPr>
        <w:spacing w:after="160" w:line="276" w:lineRule="auto"/>
        <w:jc w:val="both"/>
        <w:rPr/>
      </w:pPr>
      <w:r w:rsidDel="00000000" w:rsidR="00000000" w:rsidRPr="00000000">
        <w:rPr>
          <w:sz w:val="22"/>
          <w:szCs w:val="22"/>
          <w:rtl w:val="0"/>
        </w:rPr>
        <w:t xml:space="preserve">32. World Bank Group, "MIGA," Annual Report, accessed July 2026, https://www.worldbank.org/en/about/annual-report/miga.</w:t>
      </w:r>
      <w:r w:rsidDel="00000000" w:rsidR="00000000" w:rsidRPr="00000000">
        <w:rPr>
          <w:rtl w:val="0"/>
        </w:rPr>
      </w:r>
    </w:p>
    <w:p w:rsidR="00000000" w:rsidDel="00000000" w:rsidP="00000000" w:rsidRDefault="00000000" w:rsidRPr="00000000" w14:paraId="0000016B">
      <w:pPr>
        <w:spacing w:after="160" w:line="276" w:lineRule="auto"/>
        <w:jc w:val="both"/>
        <w:rPr/>
      </w:pPr>
      <w:r w:rsidDel="00000000" w:rsidR="00000000" w:rsidRPr="00000000">
        <w:rPr>
          <w:sz w:val="22"/>
          <w:szCs w:val="22"/>
          <w:rtl w:val="0"/>
        </w:rPr>
        <w:t xml:space="preserve">33. U.S. Trade and Development Agency, "USTDA Diversifies Critical Minerals Supply Chains through Zambia Partnership," accessed July 2026, https://www.ustda.gov/ustda-diversifies-critical-minerals-supply-chains-through-zambia-partnership/.</w:t>
      </w:r>
      <w:r w:rsidDel="00000000" w:rsidR="00000000" w:rsidRPr="00000000">
        <w:rPr>
          <w:rtl w:val="0"/>
        </w:rPr>
      </w:r>
    </w:p>
    <w:p w:rsidR="00000000" w:rsidDel="00000000" w:rsidP="00000000" w:rsidRDefault="00000000" w:rsidRPr="00000000" w14:paraId="0000016C">
      <w:pPr>
        <w:spacing w:after="160" w:line="276" w:lineRule="auto"/>
        <w:jc w:val="both"/>
        <w:rPr>
          <w:sz w:val="22"/>
          <w:szCs w:val="22"/>
        </w:rPr>
      </w:pPr>
      <w:r w:rsidDel="00000000" w:rsidR="00000000" w:rsidRPr="00000000">
        <w:rPr>
          <w:sz w:val="22"/>
          <w:szCs w:val="22"/>
          <w:rtl w:val="0"/>
        </w:rPr>
        <w:t xml:space="preserve">34. Government of Ontario, "Fortifying Ontario's Economy with Critical Minerals," accessed July 2026, https://www.ontario.ca/page/fortifying-ontarios-economy-critical-minerals.</w:t>
      </w:r>
      <w:r w:rsidDel="00000000" w:rsidR="00000000" w:rsidRPr="00000000">
        <w:br w:type="page"/>
      </w:r>
      <w:r w:rsidDel="00000000" w:rsidR="00000000" w:rsidRPr="00000000">
        <w:rPr>
          <w:rtl w:val="0"/>
        </w:rPr>
      </w:r>
    </w:p>
    <w:p w:rsidR="00000000" w:rsidDel="00000000" w:rsidP="00000000" w:rsidRDefault="00000000" w:rsidRPr="00000000" w14:paraId="0000016D">
      <w:pPr>
        <w:spacing w:after="160" w:line="276" w:lineRule="auto"/>
        <w:jc w:val="both"/>
        <w:rPr/>
      </w:pPr>
      <w:r w:rsidDel="00000000" w:rsidR="00000000" w:rsidRPr="00000000">
        <w:rPr>
          <w:rtl w:val="0"/>
        </w:rPr>
      </w:r>
    </w:p>
    <w:p w:rsidR="00000000" w:rsidDel="00000000" w:rsidP="00000000" w:rsidRDefault="00000000" w:rsidRPr="00000000" w14:paraId="0000016E">
      <w:pPr>
        <w:pStyle w:val="Heading2"/>
        <w:spacing w:after="120" w:before="240" w:lineRule="auto"/>
        <w:rPr/>
      </w:pPr>
      <w:r w:rsidDel="00000000" w:rsidR="00000000" w:rsidRPr="00000000">
        <w:rPr>
          <w:rFonts w:ascii="Times New Roman" w:cs="Times New Roman" w:eastAsia="Times New Roman" w:hAnsi="Times New Roman"/>
          <w:b w:val="1"/>
          <w:bCs w:val="1"/>
          <w:color w:val="000000"/>
          <w:sz w:val="24"/>
          <w:szCs w:val="24"/>
          <w:rtl w:val="0"/>
        </w:rPr>
        <w:t xml:space="preserve">Notes — The Butterfly Effect: Vulnerability in Indonesia's Nickel Supply Chain</w:t>
      </w:r>
      <w:r w:rsidDel="00000000" w:rsidR="00000000" w:rsidRPr="00000000">
        <w:rPr>
          <w:rtl w:val="0"/>
        </w:rPr>
      </w:r>
    </w:p>
    <w:p w:rsidR="00000000" w:rsidDel="00000000" w:rsidP="00000000" w:rsidRDefault="00000000" w:rsidRPr="00000000" w14:paraId="0000016F">
      <w:pPr>
        <w:spacing w:after="160" w:line="276" w:lineRule="auto"/>
        <w:jc w:val="both"/>
        <w:rPr/>
      </w:pPr>
      <w:r w:rsidDel="00000000" w:rsidR="00000000" w:rsidRPr="00000000">
        <w:rPr>
          <w:sz w:val="22"/>
          <w:szCs w:val="22"/>
          <w:rtl w:val="0"/>
        </w:rPr>
        <w:t xml:space="preserve">1. Center for Strategic and International Studies, "Indonesia's Nickel Industrial Strategy," accessed July 2026, https://www.csis.org/analysis/indonesias-nickel-industrial-strategy.</w:t>
      </w:r>
      <w:r w:rsidDel="00000000" w:rsidR="00000000" w:rsidRPr="00000000">
        <w:rPr>
          <w:rtl w:val="0"/>
        </w:rPr>
      </w:r>
    </w:p>
    <w:p w:rsidR="00000000" w:rsidDel="00000000" w:rsidP="00000000" w:rsidRDefault="00000000" w:rsidRPr="00000000" w14:paraId="00000170">
      <w:pPr>
        <w:spacing w:after="160" w:line="276" w:lineRule="auto"/>
        <w:jc w:val="both"/>
        <w:rPr/>
      </w:pPr>
      <w:r w:rsidDel="00000000" w:rsidR="00000000" w:rsidRPr="00000000">
        <w:rPr>
          <w:sz w:val="22"/>
          <w:szCs w:val="22"/>
          <w:rtl w:val="0"/>
        </w:rPr>
        <w:t xml:space="preserve">2. U.S. Geological Survey, "Mineral Resources Data System," accessed July 2026, https://mrdata.usgs.gov/.</w:t>
      </w:r>
      <w:r w:rsidDel="00000000" w:rsidR="00000000" w:rsidRPr="00000000">
        <w:rPr>
          <w:rtl w:val="0"/>
        </w:rPr>
      </w:r>
    </w:p>
    <w:p w:rsidR="00000000" w:rsidDel="00000000" w:rsidP="00000000" w:rsidRDefault="00000000" w:rsidRPr="00000000" w14:paraId="00000171">
      <w:pPr>
        <w:spacing w:after="160" w:line="276" w:lineRule="auto"/>
        <w:jc w:val="both"/>
        <w:rPr/>
      </w:pPr>
      <w:r w:rsidDel="00000000" w:rsidR="00000000" w:rsidRPr="00000000">
        <w:rPr>
          <w:sz w:val="22"/>
          <w:szCs w:val="22"/>
          <w:rtl w:val="0"/>
        </w:rPr>
        <w:t xml:space="preserve">3. Eve Warburton, "Nationalist Enclaves: Industrialising the Critical Mineral Boom in Indonesia," Extractive Industries and Society (2024), https://doi.org/10.1016/j.exis.2024.101564.</w:t>
      </w:r>
      <w:r w:rsidDel="00000000" w:rsidR="00000000" w:rsidRPr="00000000">
        <w:rPr>
          <w:rtl w:val="0"/>
        </w:rPr>
      </w:r>
    </w:p>
    <w:p w:rsidR="00000000" w:rsidDel="00000000" w:rsidP="00000000" w:rsidRDefault="00000000" w:rsidRPr="00000000" w14:paraId="00000172">
      <w:pPr>
        <w:spacing w:after="160" w:line="276" w:lineRule="auto"/>
        <w:jc w:val="both"/>
        <w:rPr/>
      </w:pPr>
      <w:r w:rsidDel="00000000" w:rsidR="00000000" w:rsidRPr="00000000">
        <w:rPr>
          <w:sz w:val="22"/>
          <w:szCs w:val="22"/>
          <w:rtl w:val="0"/>
        </w:rPr>
        <w:t xml:space="preserve">4. Center for Strategic and International Studies, "Indonesia's Nickel Industrial Strategy," accessed July 2026, https://www.csis.org/analysis/indonesias-nickel-industrial-strategy.</w:t>
      </w:r>
      <w:r w:rsidDel="00000000" w:rsidR="00000000" w:rsidRPr="00000000">
        <w:rPr>
          <w:rtl w:val="0"/>
        </w:rPr>
      </w:r>
    </w:p>
    <w:p w:rsidR="00000000" w:rsidDel="00000000" w:rsidP="00000000" w:rsidRDefault="00000000" w:rsidRPr="00000000" w14:paraId="00000173">
      <w:pPr>
        <w:spacing w:after="160" w:line="276" w:lineRule="auto"/>
        <w:jc w:val="both"/>
        <w:rPr/>
      </w:pPr>
      <w:r w:rsidDel="00000000" w:rsidR="00000000" w:rsidRPr="00000000">
        <w:rPr>
          <w:sz w:val="22"/>
          <w:szCs w:val="22"/>
          <w:rtl w:val="0"/>
        </w:rPr>
        <w:t xml:space="preserve">5. Eve Warburton, "Nationalist Enclaves: Industrialising the Critical Mineral Boom in Indonesia," Extractive Industries and Society (2024), https://doi.org/10.1016/j.exis.2024.101564.</w:t>
      </w:r>
      <w:r w:rsidDel="00000000" w:rsidR="00000000" w:rsidRPr="00000000">
        <w:rPr>
          <w:rtl w:val="0"/>
        </w:rPr>
      </w:r>
    </w:p>
    <w:p w:rsidR="00000000" w:rsidDel="00000000" w:rsidP="00000000" w:rsidRDefault="00000000" w:rsidRPr="00000000" w14:paraId="00000174">
      <w:pPr>
        <w:spacing w:after="160" w:line="276" w:lineRule="auto"/>
        <w:jc w:val="both"/>
        <w:rPr/>
      </w:pPr>
      <w:r w:rsidDel="00000000" w:rsidR="00000000" w:rsidRPr="00000000">
        <w:rPr>
          <w:sz w:val="22"/>
          <w:szCs w:val="22"/>
          <w:rtl w:val="0"/>
        </w:rPr>
        <w:t xml:space="preserve">6. Center for Strategic and International Studies, "South China Sea Trade and Chokepoints," accessed July 2026, https://www.csis.org/analysis/south-china-sea-trade-chokepoints.</w:t>
      </w:r>
      <w:r w:rsidDel="00000000" w:rsidR="00000000" w:rsidRPr="00000000">
        <w:rPr>
          <w:rtl w:val="0"/>
        </w:rPr>
      </w:r>
    </w:p>
    <w:p w:rsidR="00000000" w:rsidDel="00000000" w:rsidP="00000000" w:rsidRDefault="00000000" w:rsidRPr="00000000" w14:paraId="00000175">
      <w:pPr>
        <w:spacing w:after="160" w:line="276" w:lineRule="auto"/>
        <w:jc w:val="both"/>
        <w:rPr/>
      </w:pPr>
      <w:r w:rsidDel="00000000" w:rsidR="00000000" w:rsidRPr="00000000">
        <w:rPr>
          <w:sz w:val="22"/>
          <w:szCs w:val="22"/>
          <w:rtl w:val="0"/>
        </w:rPr>
        <w:t xml:space="preserve">7. United Nations Conference on Trade and Development, Review of Maritime Transport 2023 (Geneva: UNCTAD, 2023), https://unctad.org/publication/review-maritime-transport-2023.</w:t>
      </w:r>
      <w:r w:rsidDel="00000000" w:rsidR="00000000" w:rsidRPr="00000000">
        <w:rPr>
          <w:rtl w:val="0"/>
        </w:rPr>
      </w:r>
    </w:p>
    <w:p w:rsidR="00000000" w:rsidDel="00000000" w:rsidP="00000000" w:rsidRDefault="00000000" w:rsidRPr="00000000" w14:paraId="00000176">
      <w:pPr>
        <w:spacing w:after="160" w:line="276" w:lineRule="auto"/>
        <w:jc w:val="both"/>
        <w:rPr/>
      </w:pPr>
      <w:r w:rsidDel="00000000" w:rsidR="00000000" w:rsidRPr="00000000">
        <w:rPr>
          <w:sz w:val="22"/>
          <w:szCs w:val="22"/>
          <w:rtl w:val="0"/>
        </w:rPr>
        <w:t xml:space="preserve">8. International Energy Agency, "Overview of Outlook for Key Minerals," Global Critical Minerals Outlook 2025, accessed July 2026, https://www.iea.org/reports/global-critical-minerals-outlook-2025/overview-of-outlook-for-key-minerals.</w:t>
      </w:r>
      <w:r w:rsidDel="00000000" w:rsidR="00000000" w:rsidRPr="00000000">
        <w:rPr>
          <w:rtl w:val="0"/>
        </w:rPr>
      </w:r>
    </w:p>
    <w:p w:rsidR="00000000" w:rsidDel="00000000" w:rsidP="00000000" w:rsidRDefault="00000000" w:rsidRPr="00000000" w14:paraId="00000177">
      <w:pPr>
        <w:spacing w:after="160" w:line="276" w:lineRule="auto"/>
        <w:jc w:val="both"/>
        <w:rPr/>
      </w:pPr>
      <w:r w:rsidDel="00000000" w:rsidR="00000000" w:rsidRPr="00000000">
        <w:rPr>
          <w:sz w:val="22"/>
          <w:szCs w:val="22"/>
          <w:rtl w:val="0"/>
        </w:rPr>
        <w:t xml:space="preserve">9. U.S. Geological Survey, "Mineral Resources Data System," accessed July 2026, https://mrdata.usgs.gov/.</w:t>
      </w:r>
      <w:r w:rsidDel="00000000" w:rsidR="00000000" w:rsidRPr="00000000">
        <w:rPr>
          <w:rtl w:val="0"/>
        </w:rPr>
      </w:r>
    </w:p>
    <w:p w:rsidR="00000000" w:rsidDel="00000000" w:rsidP="00000000" w:rsidRDefault="00000000" w:rsidRPr="00000000" w14:paraId="00000178">
      <w:pPr>
        <w:spacing w:after="160" w:line="276" w:lineRule="auto"/>
        <w:jc w:val="both"/>
        <w:rPr/>
      </w:pPr>
      <w:r w:rsidDel="00000000" w:rsidR="00000000" w:rsidRPr="00000000">
        <w:rPr>
          <w:sz w:val="22"/>
          <w:szCs w:val="22"/>
          <w:rtl w:val="0"/>
        </w:rPr>
        <w:t xml:space="preserve">10. U.S. Department of State, "Indonesia," 2024 Country Reports on Human Rights Practices, https://www.state.gov/reports/2024-country-reports-on-human-rights-practices/indonesia/.</w:t>
      </w:r>
      <w:r w:rsidDel="00000000" w:rsidR="00000000" w:rsidRPr="00000000">
        <w:rPr>
          <w:rtl w:val="0"/>
        </w:rPr>
      </w:r>
    </w:p>
    <w:p w:rsidR="00000000" w:rsidDel="00000000" w:rsidP="00000000" w:rsidRDefault="00000000" w:rsidRPr="00000000" w14:paraId="00000179">
      <w:pPr>
        <w:spacing w:after="160" w:line="276" w:lineRule="auto"/>
        <w:jc w:val="both"/>
        <w:rPr/>
      </w:pPr>
      <w:r w:rsidDel="00000000" w:rsidR="00000000" w:rsidRPr="00000000">
        <w:rPr>
          <w:sz w:val="22"/>
          <w:szCs w:val="22"/>
          <w:rtl w:val="0"/>
        </w:rPr>
        <w:t xml:space="preserve">11. "Indonesia Morowali Industrial Park (IMIP)," The People's Map of Global China, accessed July 2026, https://thepeoplesmap.net/project/indonesia-morowali-industrial-park-imip/.</w:t>
      </w:r>
      <w:r w:rsidDel="00000000" w:rsidR="00000000" w:rsidRPr="00000000">
        <w:rPr>
          <w:rtl w:val="0"/>
        </w:rPr>
      </w:r>
    </w:p>
    <w:p w:rsidR="00000000" w:rsidDel="00000000" w:rsidP="00000000" w:rsidRDefault="00000000" w:rsidRPr="00000000" w14:paraId="0000017A">
      <w:pPr>
        <w:spacing w:after="160" w:line="276" w:lineRule="auto"/>
        <w:jc w:val="both"/>
        <w:rPr/>
      </w:pPr>
      <w:r w:rsidDel="00000000" w:rsidR="00000000" w:rsidRPr="00000000">
        <w:rPr>
          <w:sz w:val="22"/>
          <w:szCs w:val="22"/>
          <w:rtl w:val="0"/>
        </w:rPr>
        <w:t xml:space="preserve">12. International Energy Agency, Global EV Outlook 2026 (Paris: IEA, 2026), https://www.iea.org/reports/global-ev-outlook-2026.</w:t>
      </w:r>
      <w:r w:rsidDel="00000000" w:rsidR="00000000" w:rsidRPr="00000000">
        <w:rPr>
          <w:rtl w:val="0"/>
        </w:rPr>
      </w:r>
    </w:p>
    <w:p w:rsidR="00000000" w:rsidDel="00000000" w:rsidP="00000000" w:rsidRDefault="00000000" w:rsidRPr="00000000" w14:paraId="0000017B">
      <w:pPr>
        <w:spacing w:after="160" w:line="276" w:lineRule="auto"/>
        <w:jc w:val="both"/>
        <w:rPr/>
      </w:pPr>
      <w:r w:rsidDel="00000000" w:rsidR="00000000" w:rsidRPr="00000000">
        <w:rPr>
          <w:sz w:val="22"/>
          <w:szCs w:val="22"/>
          <w:rtl w:val="0"/>
        </w:rPr>
        <w:t xml:space="preserve">13. Center for Strategic and International Studies, "Diversifying Investment in Indonesia's Mining Sector," accessed July 2026, https://www.csis.org/analysis/diversifying-investment-indonesias-mining-sector.</w:t>
      </w:r>
      <w:r w:rsidDel="00000000" w:rsidR="00000000" w:rsidRPr="00000000">
        <w:rPr>
          <w:rtl w:val="0"/>
        </w:rPr>
      </w:r>
    </w:p>
    <w:sectPr>
      <w:headerReference r:id="rId22" w:type="default"/>
      <w:footerReference r:id="rId23" w:type="default"/>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jc w:val="center"/>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jc w:val="right"/>
      <w:rPr/>
    </w:pPr>
    <w:r w:rsidDel="00000000" w:rsidR="00000000" w:rsidRPr="00000000">
      <w:rPr>
        <w:i w:val="1"/>
        <w:iCs w:val="1"/>
        <w:color w:val="000000"/>
        <w:sz w:val="16"/>
        <w:szCs w:val="16"/>
        <w:rtl w:val="0"/>
      </w:rPr>
      <w:t xml:space="preserve">Arctic Ledger — Volume I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Times New Roman" w:cs="Times New Roman" w:eastAsia="Times New Roman" w:hAnsi="Times New Roman"/>
      <w:i w:val="1"/>
      <w:iCs w:val="1"/>
      <w:color w:val="000000"/>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china.aiddata.org/projects/39281/" TargetMode="External"/><Relationship Id="rId11" Type="http://schemas.openxmlformats.org/officeDocument/2006/relationships/hyperlink" Target="https://doi.org/10.51593/20210045" TargetMode="External"/><Relationship Id="rId22" Type="http://schemas.openxmlformats.org/officeDocument/2006/relationships/header" Target="header1.xml"/><Relationship Id="rId10" Type="http://schemas.openxmlformats.org/officeDocument/2006/relationships/hyperlink" Target="https://doi.org/10.1080/14765284.2021.1929793" TargetMode="External"/><Relationship Id="rId21" Type="http://schemas.openxmlformats.org/officeDocument/2006/relationships/hyperlink" Target="https://china.aiddata.org/projects/39281/" TargetMode="External"/><Relationship Id="rId13" Type="http://schemas.openxmlformats.org/officeDocument/2006/relationships/hyperlink" Target="https://www.federalregister.gov/documents/2020/08/20/2020-18213" TargetMode="External"/><Relationship Id="rId12" Type="http://schemas.openxmlformats.org/officeDocument/2006/relationships/hyperlink" Target="https://doi.org/10.51593/20210045"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80/14765284.2021.1929793" TargetMode="External"/><Relationship Id="rId15" Type="http://schemas.openxmlformats.org/officeDocument/2006/relationships/hyperlink" Target="https://escholarship.org/uc/item/5f61c958" TargetMode="External"/><Relationship Id="rId14" Type="http://schemas.openxmlformats.org/officeDocument/2006/relationships/hyperlink" Target="https://www.federalregister.gov/documents/2020/08/20/2020-18213" TargetMode="External"/><Relationship Id="rId17" Type="http://schemas.openxmlformats.org/officeDocument/2006/relationships/hyperlink" Target="https://www.csis.org/analysis/building-chinas-one-belt-one-road" TargetMode="External"/><Relationship Id="rId16" Type="http://schemas.openxmlformats.org/officeDocument/2006/relationships/hyperlink" Target="https://escholarship.org/uc/item/5f61c958" TargetMode="External"/><Relationship Id="rId5" Type="http://schemas.openxmlformats.org/officeDocument/2006/relationships/styles" Target="styles.xml"/><Relationship Id="rId19" Type="http://schemas.openxmlformats.org/officeDocument/2006/relationships/hyperlink" Target="https://www.google.com/search?q=https://www.alibabacloud.com/en/press-room/alibaba-qwen-powers-ai-singapore-latest-llm" TargetMode="External"/><Relationship Id="rId6" Type="http://schemas.openxmlformats.org/officeDocument/2006/relationships/customXml" Target="../customXML/item1.xml"/><Relationship Id="rId18" Type="http://schemas.openxmlformats.org/officeDocument/2006/relationships/hyperlink" Target="https://www.google.com/search?q=https://www.alibabacloud.com/en/press-room/alibaba-qwen-powers-ai-singapore-latest-llm" TargetMode="Externa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If9IRb0yAgoXQkVXALEjfJbAg==">CgMxLjAaFAoBMBIPCg0IB0IJEgdHdW5nc3VoGhQKATESDwoNCAdCCRIHR3VuZ3N1aBoUCgEyEg8KDQgHQgkSB0d1bmdzdWgaFAoBMxIPCg0IB0IJEgdHdW5nc3VoGhQKATQSDwoNCAdCCRIHR3VuZ3N1aBoUCgE1Eg8KDQgHQgkSB0d1bmdzdWgyDmguamY2aGhpdG8wenFxMg5oLjgxcHY1dTV2b3g0aTgAciExeHZkaDF4U3MwWmRtWm1nM18tVmlleWNmd3VrMGw2NnU=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